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7E1" w:rsidRDefault="00EE0B9A">
      <w:r>
        <w:rPr>
          <w:noProof/>
        </w:rPr>
        <w:drawing>
          <wp:inline distT="0" distB="0" distL="0" distR="0">
            <wp:extent cx="1417320" cy="4985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raa_logo.png"/>
                    <pic:cNvPicPr/>
                  </pic:nvPicPr>
                  <pic:blipFill>
                    <a:blip r:embed="rId8"/>
                    <a:stretch>
                      <a:fillRect/>
                    </a:stretch>
                  </pic:blipFill>
                  <pic:spPr>
                    <a:xfrm>
                      <a:off x="0" y="0"/>
                      <a:ext cx="1417320" cy="498545"/>
                    </a:xfrm>
                    <a:prstGeom prst="rect">
                      <a:avLst/>
                    </a:prstGeom>
                  </pic:spPr>
                </pic:pic>
              </a:graphicData>
            </a:graphic>
          </wp:inline>
        </w:drawing>
      </w:r>
    </w:p>
    <w:p w:rsidR="00FD67E1" w:rsidRDefault="00EE0B9A">
      <w:pPr>
        <w:pStyle w:val="Title"/>
      </w:pPr>
      <w:r>
        <w:t>SCOPE OF WORK</w:t>
      </w:r>
    </w:p>
    <w:p w:rsidR="00FD67E1" w:rsidRDefault="00EE0B9A">
      <w:pPr>
        <w:pStyle w:val="Subtitle"/>
      </w:pPr>
      <w:r>
        <w:t>Corporate Identity, Brand Strategy, Media and Public Relations with Optional Social Media Management</w:t>
      </w:r>
    </w:p>
    <w:p w:rsidR="00FD67E1" w:rsidRDefault="00EE0B9A">
      <w:pPr>
        <w:pStyle w:val="Heading2"/>
      </w:pPr>
      <w:r>
        <w:t>THARAA HOLDING AND ITS OPERATING COMPANIES</w:t>
      </w:r>
    </w:p>
    <w:p w:rsidR="00FD67E1" w:rsidRDefault="00EE0B9A">
      <w:pPr>
        <w:pStyle w:val="SmallNote"/>
      </w:pPr>
      <w:r>
        <w:t>Issued for competitive tender | September 2026</w:t>
      </w:r>
    </w:p>
    <w:p w:rsidR="00FD67E1" w:rsidRDefault="00EE0B9A">
      <w:r>
        <w:br/>
      </w:r>
    </w:p>
    <w:tbl>
      <w:tblPr>
        <w:tblStyle w:val="TableGrid"/>
        <w:tblW w:w="0" w:type="auto"/>
        <w:jc w:val="center"/>
        <w:tblLook w:val="04A0" w:firstRow="1" w:lastRow="0" w:firstColumn="1" w:lastColumn="0" w:noHBand="0" w:noVBand="1"/>
      </w:tblPr>
      <w:tblGrid>
        <w:gridCol w:w="2592"/>
        <w:gridCol w:w="7056"/>
      </w:tblGrid>
      <w:tr w:rsidR="00FD67E1">
        <w:trPr>
          <w:cantSplit/>
          <w:tblHeader/>
          <w:jc w:val="center"/>
        </w:trPr>
        <w:tc>
          <w:tcPr>
            <w:tcW w:w="2592" w:type="dxa"/>
            <w:shd w:val="clear" w:color="auto" w:fill="13283F"/>
            <w:tcMar>
              <w:top w:w="80" w:type="dxa"/>
              <w:left w:w="100" w:type="dxa"/>
              <w:bottom w:w="80" w:type="dxa"/>
              <w:right w:w="100" w:type="dxa"/>
            </w:tcMar>
          </w:tcPr>
          <w:p w:rsidR="00FD67E1" w:rsidRDefault="00EE0B9A">
            <w:r>
              <w:rPr>
                <w:b/>
                <w:color w:val="FFFFFF"/>
                <w:sz w:val="16"/>
              </w:rPr>
              <w:t>Document control</w:t>
            </w:r>
          </w:p>
        </w:tc>
        <w:tc>
          <w:tcPr>
            <w:tcW w:w="7056" w:type="dxa"/>
            <w:shd w:val="clear" w:color="auto" w:fill="13283F"/>
            <w:tcMar>
              <w:top w:w="80" w:type="dxa"/>
              <w:left w:w="100" w:type="dxa"/>
              <w:bottom w:w="80" w:type="dxa"/>
              <w:right w:w="100" w:type="dxa"/>
            </w:tcMar>
          </w:tcPr>
          <w:p w:rsidR="00FD67E1" w:rsidRDefault="00EE0B9A">
            <w:r>
              <w:rPr>
                <w:b/>
                <w:color w:val="FFFFFF"/>
                <w:sz w:val="16"/>
              </w:rPr>
              <w:t>Detail</w:t>
            </w:r>
          </w:p>
        </w:tc>
      </w:tr>
      <w:tr w:rsidR="00FD67E1">
        <w:trPr>
          <w:cantSplit/>
          <w:jc w:val="center"/>
        </w:trPr>
        <w:tc>
          <w:tcPr>
            <w:tcW w:w="2592" w:type="dxa"/>
            <w:tcMar>
              <w:top w:w="80" w:type="dxa"/>
              <w:left w:w="100" w:type="dxa"/>
              <w:bottom w:w="80" w:type="dxa"/>
              <w:right w:w="100" w:type="dxa"/>
            </w:tcMar>
            <w:vAlign w:val="center"/>
          </w:tcPr>
          <w:p w:rsidR="00FD67E1" w:rsidRDefault="00EE0B9A">
            <w:pPr>
              <w:spacing w:after="0"/>
            </w:pPr>
            <w:r>
              <w:rPr>
                <w:sz w:val="16"/>
              </w:rPr>
              <w:t>Contracting authority</w:t>
            </w:r>
          </w:p>
        </w:tc>
        <w:tc>
          <w:tcPr>
            <w:tcW w:w="7056" w:type="dxa"/>
            <w:tcMar>
              <w:top w:w="80" w:type="dxa"/>
              <w:left w:w="100" w:type="dxa"/>
              <w:bottom w:w="80" w:type="dxa"/>
              <w:right w:w="100" w:type="dxa"/>
            </w:tcMar>
            <w:vAlign w:val="center"/>
          </w:tcPr>
          <w:p w:rsidR="00FD67E1" w:rsidRDefault="00EE0B9A">
            <w:pPr>
              <w:spacing w:after="0"/>
            </w:pPr>
            <w:r>
              <w:rPr>
                <w:sz w:val="16"/>
              </w:rPr>
              <w:t>Ajman Chamber</w:t>
            </w:r>
          </w:p>
        </w:tc>
      </w:tr>
      <w:tr w:rsidR="00FD67E1">
        <w:trPr>
          <w:cantSplit/>
          <w:jc w:val="center"/>
        </w:trPr>
        <w:tc>
          <w:tcPr>
            <w:tcW w:w="2592" w:type="dxa"/>
            <w:shd w:val="clear" w:color="auto" w:fill="F4F7F8"/>
            <w:tcMar>
              <w:top w:w="80" w:type="dxa"/>
              <w:left w:w="100" w:type="dxa"/>
              <w:bottom w:w="80" w:type="dxa"/>
              <w:right w:w="100" w:type="dxa"/>
            </w:tcMar>
            <w:vAlign w:val="center"/>
          </w:tcPr>
          <w:p w:rsidR="00FD67E1" w:rsidRDefault="00EE0B9A">
            <w:pPr>
              <w:spacing w:after="0"/>
            </w:pPr>
            <w:r>
              <w:rPr>
                <w:sz w:val="16"/>
              </w:rPr>
              <w:t>Ecosystem</w:t>
            </w:r>
          </w:p>
        </w:tc>
        <w:tc>
          <w:tcPr>
            <w:tcW w:w="7056" w:type="dxa"/>
            <w:shd w:val="clear" w:color="auto" w:fill="F4F7F8"/>
            <w:tcMar>
              <w:top w:w="80" w:type="dxa"/>
              <w:left w:w="100" w:type="dxa"/>
              <w:bottom w:w="80" w:type="dxa"/>
              <w:right w:w="100" w:type="dxa"/>
            </w:tcMar>
            <w:vAlign w:val="center"/>
          </w:tcPr>
          <w:p w:rsidR="00FD67E1" w:rsidRDefault="00EE0B9A">
            <w:pPr>
              <w:spacing w:after="0"/>
            </w:pPr>
            <w:r>
              <w:rPr>
                <w:sz w:val="16"/>
              </w:rPr>
              <w:t>Tharaa Holding</w:t>
            </w:r>
          </w:p>
        </w:tc>
      </w:tr>
      <w:tr w:rsidR="00FD67E1">
        <w:trPr>
          <w:cantSplit/>
          <w:jc w:val="center"/>
        </w:trPr>
        <w:tc>
          <w:tcPr>
            <w:tcW w:w="2592" w:type="dxa"/>
            <w:tcMar>
              <w:top w:w="80" w:type="dxa"/>
              <w:left w:w="100" w:type="dxa"/>
              <w:bottom w:w="80" w:type="dxa"/>
              <w:right w:w="100" w:type="dxa"/>
            </w:tcMar>
            <w:vAlign w:val="center"/>
          </w:tcPr>
          <w:p w:rsidR="00FD67E1" w:rsidRDefault="00EE0B9A">
            <w:pPr>
              <w:spacing w:after="0"/>
            </w:pPr>
            <w:r>
              <w:rPr>
                <w:sz w:val="16"/>
              </w:rPr>
              <w:t>Packages</w:t>
            </w:r>
          </w:p>
        </w:tc>
        <w:tc>
          <w:tcPr>
            <w:tcW w:w="7056" w:type="dxa"/>
            <w:tcMar>
              <w:top w:w="80" w:type="dxa"/>
              <w:left w:w="100" w:type="dxa"/>
              <w:bottom w:w="80" w:type="dxa"/>
              <w:right w:w="100" w:type="dxa"/>
            </w:tcMar>
            <w:vAlign w:val="center"/>
          </w:tcPr>
          <w:p w:rsidR="00FD67E1" w:rsidRDefault="00EE0B9A">
            <w:pPr>
              <w:spacing w:after="0"/>
            </w:pPr>
            <w:r>
              <w:rPr>
                <w:sz w:val="16"/>
              </w:rPr>
              <w:t>1. Core: Corporate Identity, Brand Strategy, Media &amp; PR</w:t>
            </w:r>
            <w:r>
              <w:rPr>
                <w:sz w:val="16"/>
              </w:rPr>
              <w:br/>
              <w:t>2. Optional: Social Media Management &amp; Digital Content</w:t>
            </w:r>
          </w:p>
        </w:tc>
      </w:tr>
      <w:tr w:rsidR="00FD67E1">
        <w:trPr>
          <w:cantSplit/>
          <w:jc w:val="center"/>
        </w:trPr>
        <w:tc>
          <w:tcPr>
            <w:tcW w:w="2592" w:type="dxa"/>
            <w:shd w:val="clear" w:color="auto" w:fill="F4F7F8"/>
            <w:tcMar>
              <w:top w:w="80" w:type="dxa"/>
              <w:left w:w="100" w:type="dxa"/>
              <w:bottom w:w="80" w:type="dxa"/>
              <w:right w:w="100" w:type="dxa"/>
            </w:tcMar>
            <w:vAlign w:val="center"/>
          </w:tcPr>
          <w:p w:rsidR="00FD67E1" w:rsidRDefault="00EE0B9A">
            <w:pPr>
              <w:spacing w:after="0"/>
            </w:pPr>
            <w:r>
              <w:rPr>
                <w:sz w:val="16"/>
              </w:rPr>
              <w:t>Language</w:t>
            </w:r>
          </w:p>
        </w:tc>
        <w:tc>
          <w:tcPr>
            <w:tcW w:w="7056" w:type="dxa"/>
            <w:shd w:val="clear" w:color="auto" w:fill="F4F7F8"/>
            <w:tcMar>
              <w:top w:w="80" w:type="dxa"/>
              <w:left w:w="100" w:type="dxa"/>
              <w:bottom w:w="80" w:type="dxa"/>
              <w:right w:w="100" w:type="dxa"/>
            </w:tcMar>
            <w:vAlign w:val="center"/>
          </w:tcPr>
          <w:p w:rsidR="00FD67E1" w:rsidRDefault="00EE0B9A">
            <w:pPr>
              <w:spacing w:after="0"/>
            </w:pPr>
            <w:r>
              <w:rPr>
                <w:sz w:val="16"/>
              </w:rPr>
              <w:t>Arabic and English</w:t>
            </w:r>
          </w:p>
        </w:tc>
      </w:tr>
      <w:tr w:rsidR="00FD67E1">
        <w:trPr>
          <w:cantSplit/>
          <w:jc w:val="center"/>
        </w:trPr>
        <w:tc>
          <w:tcPr>
            <w:tcW w:w="2592" w:type="dxa"/>
            <w:tcMar>
              <w:top w:w="80" w:type="dxa"/>
              <w:left w:w="100" w:type="dxa"/>
              <w:bottom w:w="80" w:type="dxa"/>
              <w:right w:w="100" w:type="dxa"/>
            </w:tcMar>
            <w:vAlign w:val="center"/>
          </w:tcPr>
          <w:p w:rsidR="00FD67E1" w:rsidRDefault="00EE0B9A">
            <w:pPr>
              <w:spacing w:after="0"/>
            </w:pPr>
            <w:r>
              <w:rPr>
                <w:sz w:val="16"/>
              </w:rPr>
              <w:t>Tender portal</w:t>
            </w:r>
          </w:p>
        </w:tc>
        <w:tc>
          <w:tcPr>
            <w:tcW w:w="7056" w:type="dxa"/>
            <w:tcMar>
              <w:top w:w="80" w:type="dxa"/>
              <w:left w:w="100" w:type="dxa"/>
              <w:bottom w:w="80" w:type="dxa"/>
              <w:right w:w="100" w:type="dxa"/>
            </w:tcMar>
            <w:vAlign w:val="center"/>
          </w:tcPr>
          <w:p w:rsidR="00FD67E1" w:rsidRDefault="00EE0B9A">
            <w:pPr>
              <w:spacing w:after="0"/>
            </w:pPr>
            <w:r>
              <w:rPr>
                <w:sz w:val="16"/>
              </w:rPr>
              <w:t>Ajman Government Tenders Portal (Tawreed)</w:t>
            </w:r>
          </w:p>
        </w:tc>
      </w:tr>
    </w:tbl>
    <w:p w:rsidR="00FD67E1" w:rsidRDefault="00FD67E1">
      <w:pPr>
        <w:spacing w:after="0"/>
      </w:pPr>
    </w:p>
    <w:p w:rsidR="00FD67E1" w:rsidRDefault="00EE0B9A">
      <w:pPr>
        <w:pStyle w:val="Heading2"/>
      </w:pPr>
      <w:r>
        <w:t>Confidentiality and accuracy</w:t>
      </w:r>
    </w:p>
    <w:p w:rsidR="00FD67E1" w:rsidRDefault="00EE0B9A">
      <w:r>
        <w:t>This document defines the minimum required scope. All public claims concerning government support, partnerships, investment, portfolio companies, jobs, funding, beneficiaries or economic impact require prior written approval and documentary substantiation.</w:t>
      </w:r>
    </w:p>
    <w:p w:rsidR="00FD67E1" w:rsidRDefault="00EE0B9A">
      <w:r>
        <w:br w:type="page"/>
      </w:r>
    </w:p>
    <w:p w:rsidR="00FD67E1" w:rsidRDefault="00EE0B9A">
      <w:pPr>
        <w:pStyle w:val="Heading1"/>
      </w:pPr>
      <w:r>
        <w:lastRenderedPageBreak/>
        <w:t>1. Introduction</w:t>
      </w:r>
    </w:p>
    <w:p w:rsidR="00FD67E1" w:rsidRDefault="00EE0B9A">
      <w:r>
        <w:t>Tharaa is an independent, integrated Ajman-based ecosystem wholly owned by Ajman Chamber. It connects enterprise, entrepreneurship, innovation, investment and business support to create companies, jobs and sustainable economic value. Tharaa operates through its own brand, governance, management and commercial platform.</w:t>
      </w:r>
    </w:p>
    <w:p w:rsidR="00FD67E1" w:rsidRDefault="00EE0B9A">
      <w:r>
        <w:t>Tharaa connects founders, SMEs, investors, corporates, government entities, universities and communities through one coordinated platform spanning business infrastructure, incubation, acceleration, capital, outsourced shared services and social impact. Its purpose is not to create another coworking venue or events platform, but to build an operating ecosystem that helps ventures move from idea and establishment through growth, market entry, investment and regional scale.</w:t>
      </w:r>
    </w:p>
    <w:p w:rsidR="00FD67E1" w:rsidRDefault="00EE0B9A">
      <w:r>
        <w:t>The agency must translate this complex institutional and commercial model into one clear, credible and differentiated story. Tharaa must retain a modern, independent and commercially relevant identity capable of engaging entrepreneurs and investors.</w:t>
      </w:r>
    </w:p>
    <w:p w:rsidR="00FD67E1" w:rsidRDefault="00EE0B9A">
      <w:pPr>
        <w:pStyle w:val="Heading1"/>
      </w:pPr>
      <w:r>
        <w:t>2. Strategic Foundation</w:t>
      </w:r>
    </w:p>
    <w:p w:rsidR="00FD67E1" w:rsidRDefault="00EE0B9A">
      <w:pPr>
        <w:pStyle w:val="Heading2"/>
      </w:pPr>
      <w:r>
        <w:t>Vision</w:t>
      </w:r>
    </w:p>
    <w:p w:rsidR="00FD67E1" w:rsidRDefault="00EE0B9A">
      <w:r>
        <w:t>To build one of the region's most effective ecosystems for creating, growing and scaling businesses, talent and investment from Ajman to the wider region.</w:t>
      </w:r>
    </w:p>
    <w:p w:rsidR="00FD67E1" w:rsidRDefault="00EE0B9A">
      <w:pPr>
        <w:pStyle w:val="Heading2"/>
      </w:pPr>
      <w:r>
        <w:t>Mission</w:t>
      </w:r>
    </w:p>
    <w:p w:rsidR="00FD67E1" w:rsidRDefault="00EE0B9A">
      <w:r>
        <w:t>To connect entrepreneurs, SMEs, investors, corporates and institutions through integrated infrastructure, incubation, acceleration, capital, shared services, market access and community platforms that convert opportunity into sustainable economic growth.</w:t>
      </w:r>
    </w:p>
    <w:p w:rsidR="00FD67E1" w:rsidRDefault="00EE0B9A">
      <w:pPr>
        <w:pStyle w:val="Heading2"/>
      </w:pPr>
      <w:r>
        <w:t>Brand promise</w:t>
      </w:r>
    </w:p>
    <w:p w:rsidR="00FD67E1" w:rsidRDefault="00EE0B9A">
      <w:r>
        <w:t>From ideation to global scale, Tharaa gives founders and businesses a connected path to workspace, venture support, investment, operational services and market access, allowing them to focus on innovation, customers and growth.</w:t>
      </w:r>
    </w:p>
    <w:tbl>
      <w:tblPr>
        <w:tblStyle w:val="TableGrid"/>
        <w:tblW w:w="0" w:type="auto"/>
        <w:jc w:val="center"/>
        <w:tblLook w:val="04A0" w:firstRow="1" w:lastRow="0" w:firstColumn="1" w:lastColumn="0" w:noHBand="0" w:noVBand="1"/>
      </w:tblPr>
      <w:tblGrid>
        <w:gridCol w:w="2016"/>
        <w:gridCol w:w="7632"/>
      </w:tblGrid>
      <w:tr w:rsidR="00FD67E1">
        <w:trPr>
          <w:cantSplit/>
          <w:tblHeader/>
          <w:jc w:val="center"/>
        </w:trPr>
        <w:tc>
          <w:tcPr>
            <w:tcW w:w="2016" w:type="dxa"/>
            <w:shd w:val="clear" w:color="auto" w:fill="13283F"/>
            <w:tcMar>
              <w:top w:w="80" w:type="dxa"/>
              <w:left w:w="100" w:type="dxa"/>
              <w:bottom w:w="80" w:type="dxa"/>
              <w:right w:w="100" w:type="dxa"/>
            </w:tcMar>
          </w:tcPr>
          <w:p w:rsidR="00FD67E1" w:rsidRDefault="00EE0B9A">
            <w:r>
              <w:rPr>
                <w:b/>
                <w:color w:val="FFFFFF"/>
                <w:sz w:val="16"/>
              </w:rPr>
              <w:t>Principle</w:t>
            </w:r>
          </w:p>
        </w:tc>
        <w:tc>
          <w:tcPr>
            <w:tcW w:w="7632" w:type="dxa"/>
            <w:shd w:val="clear" w:color="auto" w:fill="13283F"/>
            <w:tcMar>
              <w:top w:w="80" w:type="dxa"/>
              <w:left w:w="100" w:type="dxa"/>
              <w:bottom w:w="80" w:type="dxa"/>
              <w:right w:w="100" w:type="dxa"/>
            </w:tcMar>
          </w:tcPr>
          <w:p w:rsidR="00FD67E1" w:rsidRDefault="00EE0B9A">
            <w:r>
              <w:rPr>
                <w:b/>
                <w:color w:val="FFFFFF"/>
                <w:sz w:val="16"/>
              </w:rPr>
              <w:t>Meaning</w:t>
            </w:r>
          </w:p>
        </w:tc>
      </w:tr>
      <w:tr w:rsidR="00FD67E1">
        <w:trPr>
          <w:cantSplit/>
          <w:jc w:val="center"/>
        </w:trPr>
        <w:tc>
          <w:tcPr>
            <w:tcW w:w="2016" w:type="dxa"/>
            <w:tcMar>
              <w:top w:w="80" w:type="dxa"/>
              <w:left w:w="100" w:type="dxa"/>
              <w:bottom w:w="80" w:type="dxa"/>
              <w:right w:w="100" w:type="dxa"/>
            </w:tcMar>
            <w:vAlign w:val="center"/>
          </w:tcPr>
          <w:p w:rsidR="00FD67E1" w:rsidRDefault="00EE0B9A">
            <w:pPr>
              <w:spacing w:after="0"/>
            </w:pPr>
            <w:r>
              <w:rPr>
                <w:sz w:val="16"/>
              </w:rPr>
              <w:t>Ambition</w:t>
            </w:r>
          </w:p>
        </w:tc>
        <w:tc>
          <w:tcPr>
            <w:tcW w:w="7632" w:type="dxa"/>
            <w:tcMar>
              <w:top w:w="80" w:type="dxa"/>
              <w:left w:w="100" w:type="dxa"/>
              <w:bottom w:w="80" w:type="dxa"/>
              <w:right w:w="100" w:type="dxa"/>
            </w:tcMar>
            <w:vAlign w:val="center"/>
          </w:tcPr>
          <w:p w:rsidR="00FD67E1" w:rsidRDefault="00EE0B9A">
            <w:pPr>
              <w:spacing w:after="0"/>
            </w:pPr>
            <w:r>
              <w:rPr>
                <w:sz w:val="16"/>
              </w:rPr>
              <w:t>Build regionally significant companies and institutions from Ajman.</w:t>
            </w:r>
          </w:p>
        </w:tc>
      </w:tr>
      <w:tr w:rsidR="00FD67E1">
        <w:trPr>
          <w:cantSplit/>
          <w:jc w:val="center"/>
        </w:trPr>
        <w:tc>
          <w:tcPr>
            <w:tcW w:w="2016" w:type="dxa"/>
            <w:shd w:val="clear" w:color="auto" w:fill="F4F7F8"/>
            <w:tcMar>
              <w:top w:w="80" w:type="dxa"/>
              <w:left w:w="100" w:type="dxa"/>
              <w:bottom w:w="80" w:type="dxa"/>
              <w:right w:w="100" w:type="dxa"/>
            </w:tcMar>
            <w:vAlign w:val="center"/>
          </w:tcPr>
          <w:p w:rsidR="00FD67E1" w:rsidRDefault="00EE0B9A">
            <w:pPr>
              <w:spacing w:after="0"/>
            </w:pPr>
            <w:r>
              <w:rPr>
                <w:sz w:val="16"/>
              </w:rPr>
              <w:t>Impact</w:t>
            </w:r>
          </w:p>
        </w:tc>
        <w:tc>
          <w:tcPr>
            <w:tcW w:w="7632" w:type="dxa"/>
            <w:shd w:val="clear" w:color="auto" w:fill="F4F7F8"/>
            <w:tcMar>
              <w:top w:w="80" w:type="dxa"/>
              <w:left w:w="100" w:type="dxa"/>
              <w:bottom w:w="80" w:type="dxa"/>
              <w:right w:w="100" w:type="dxa"/>
            </w:tcMar>
            <w:vAlign w:val="center"/>
          </w:tcPr>
          <w:p w:rsidR="00FD67E1" w:rsidRDefault="00EE0B9A">
            <w:pPr>
              <w:spacing w:after="0"/>
            </w:pPr>
            <w:r>
              <w:rPr>
                <w:sz w:val="16"/>
              </w:rPr>
              <w:t>Measure companies, jobs, capital, revenue, survival and community outcomes—not publicity alone.</w:t>
            </w:r>
          </w:p>
        </w:tc>
      </w:tr>
      <w:tr w:rsidR="00FD67E1">
        <w:trPr>
          <w:cantSplit/>
          <w:jc w:val="center"/>
        </w:trPr>
        <w:tc>
          <w:tcPr>
            <w:tcW w:w="2016" w:type="dxa"/>
            <w:tcMar>
              <w:top w:w="80" w:type="dxa"/>
              <w:left w:w="100" w:type="dxa"/>
              <w:bottom w:w="80" w:type="dxa"/>
              <w:right w:w="100" w:type="dxa"/>
            </w:tcMar>
            <w:vAlign w:val="center"/>
          </w:tcPr>
          <w:p w:rsidR="00FD67E1" w:rsidRDefault="00EE0B9A">
            <w:pPr>
              <w:spacing w:after="0"/>
            </w:pPr>
            <w:r>
              <w:rPr>
                <w:sz w:val="16"/>
              </w:rPr>
              <w:t>Trust</w:t>
            </w:r>
          </w:p>
        </w:tc>
        <w:tc>
          <w:tcPr>
            <w:tcW w:w="7632" w:type="dxa"/>
            <w:tcMar>
              <w:top w:w="80" w:type="dxa"/>
              <w:left w:w="100" w:type="dxa"/>
              <w:bottom w:w="80" w:type="dxa"/>
              <w:right w:w="100" w:type="dxa"/>
            </w:tcMar>
            <w:vAlign w:val="center"/>
          </w:tcPr>
          <w:p w:rsidR="00FD67E1" w:rsidRDefault="00EE0B9A">
            <w:pPr>
              <w:spacing w:after="0"/>
            </w:pPr>
            <w:r>
              <w:rPr>
                <w:sz w:val="16"/>
              </w:rPr>
              <w:t>Communicate with institutional accuracy, transparency and discipline.</w:t>
            </w:r>
          </w:p>
        </w:tc>
      </w:tr>
      <w:tr w:rsidR="00FD67E1">
        <w:trPr>
          <w:cantSplit/>
          <w:jc w:val="center"/>
        </w:trPr>
        <w:tc>
          <w:tcPr>
            <w:tcW w:w="2016" w:type="dxa"/>
            <w:shd w:val="clear" w:color="auto" w:fill="F4F7F8"/>
            <w:tcMar>
              <w:top w:w="80" w:type="dxa"/>
              <w:left w:w="100" w:type="dxa"/>
              <w:bottom w:w="80" w:type="dxa"/>
              <w:right w:w="100" w:type="dxa"/>
            </w:tcMar>
            <w:vAlign w:val="center"/>
          </w:tcPr>
          <w:p w:rsidR="00FD67E1" w:rsidRDefault="00EE0B9A">
            <w:pPr>
              <w:spacing w:after="0"/>
            </w:pPr>
            <w:r>
              <w:rPr>
                <w:sz w:val="16"/>
              </w:rPr>
              <w:t>Partnership</w:t>
            </w:r>
          </w:p>
        </w:tc>
        <w:tc>
          <w:tcPr>
            <w:tcW w:w="7632" w:type="dxa"/>
            <w:shd w:val="clear" w:color="auto" w:fill="F4F7F8"/>
            <w:tcMar>
              <w:top w:w="80" w:type="dxa"/>
              <w:left w:w="100" w:type="dxa"/>
              <w:bottom w:w="80" w:type="dxa"/>
              <w:right w:w="100" w:type="dxa"/>
            </w:tcMar>
            <w:vAlign w:val="center"/>
          </w:tcPr>
          <w:p w:rsidR="00FD67E1" w:rsidRDefault="00EE0B9A">
            <w:pPr>
              <w:spacing w:after="0"/>
            </w:pPr>
            <w:r>
              <w:rPr>
                <w:sz w:val="16"/>
              </w:rPr>
              <w:t>Connect public, private, academic, investor and entrepreneurial capabilities.</w:t>
            </w:r>
          </w:p>
        </w:tc>
      </w:tr>
      <w:tr w:rsidR="00FD67E1">
        <w:trPr>
          <w:cantSplit/>
          <w:jc w:val="center"/>
        </w:trPr>
        <w:tc>
          <w:tcPr>
            <w:tcW w:w="2016" w:type="dxa"/>
            <w:tcMar>
              <w:top w:w="80" w:type="dxa"/>
              <w:left w:w="100" w:type="dxa"/>
              <w:bottom w:w="80" w:type="dxa"/>
              <w:right w:w="100" w:type="dxa"/>
            </w:tcMar>
            <w:vAlign w:val="center"/>
          </w:tcPr>
          <w:p w:rsidR="00FD67E1" w:rsidRDefault="00EE0B9A">
            <w:pPr>
              <w:spacing w:after="0"/>
            </w:pPr>
            <w:r>
              <w:rPr>
                <w:sz w:val="16"/>
              </w:rPr>
              <w:t>Empowerment</w:t>
            </w:r>
          </w:p>
        </w:tc>
        <w:tc>
          <w:tcPr>
            <w:tcW w:w="7632" w:type="dxa"/>
            <w:tcMar>
              <w:top w:w="80" w:type="dxa"/>
              <w:left w:w="100" w:type="dxa"/>
              <w:bottom w:w="80" w:type="dxa"/>
              <w:right w:w="100" w:type="dxa"/>
            </w:tcMar>
            <w:vAlign w:val="center"/>
          </w:tcPr>
          <w:p w:rsidR="00FD67E1" w:rsidRDefault="00EE0B9A">
            <w:pPr>
              <w:spacing w:after="0"/>
            </w:pPr>
            <w:r>
              <w:rPr>
                <w:sz w:val="16"/>
              </w:rPr>
              <w:t>Give founders the infrastructure, expertise and access required to execute.</w:t>
            </w:r>
          </w:p>
        </w:tc>
      </w:tr>
      <w:tr w:rsidR="00FD67E1">
        <w:trPr>
          <w:cantSplit/>
          <w:jc w:val="center"/>
        </w:trPr>
        <w:tc>
          <w:tcPr>
            <w:tcW w:w="2016" w:type="dxa"/>
            <w:shd w:val="clear" w:color="auto" w:fill="F4F7F8"/>
            <w:tcMar>
              <w:top w:w="80" w:type="dxa"/>
              <w:left w:w="100" w:type="dxa"/>
              <w:bottom w:w="80" w:type="dxa"/>
              <w:right w:w="100" w:type="dxa"/>
            </w:tcMar>
            <w:vAlign w:val="center"/>
          </w:tcPr>
          <w:p w:rsidR="00FD67E1" w:rsidRDefault="00EE0B9A">
            <w:pPr>
              <w:spacing w:after="0"/>
            </w:pPr>
            <w:r>
              <w:rPr>
                <w:sz w:val="16"/>
              </w:rPr>
              <w:t>Inclusion</w:t>
            </w:r>
          </w:p>
        </w:tc>
        <w:tc>
          <w:tcPr>
            <w:tcW w:w="7632" w:type="dxa"/>
            <w:shd w:val="clear" w:color="auto" w:fill="F4F7F8"/>
            <w:tcMar>
              <w:top w:w="80" w:type="dxa"/>
              <w:left w:w="100" w:type="dxa"/>
              <w:bottom w:w="80" w:type="dxa"/>
              <w:right w:w="100" w:type="dxa"/>
            </w:tcMar>
            <w:vAlign w:val="center"/>
          </w:tcPr>
          <w:p w:rsidR="00FD67E1" w:rsidRDefault="00EE0B9A">
            <w:pPr>
              <w:spacing w:after="0"/>
            </w:pPr>
            <w:r>
              <w:rPr>
                <w:sz w:val="16"/>
              </w:rPr>
              <w:t>Extend opportunity to women, youth, UAE nationals, people of determination and entrepreneurs across Ajman, Masfout and Manama.</w:t>
            </w:r>
          </w:p>
        </w:tc>
      </w:tr>
    </w:tbl>
    <w:p w:rsidR="00FD67E1" w:rsidRDefault="00FD67E1">
      <w:pPr>
        <w:spacing w:after="0"/>
      </w:pPr>
    </w:p>
    <w:p w:rsidR="00FD67E1" w:rsidRDefault="00EE0B9A">
      <w:pPr>
        <w:pStyle w:val="Heading2"/>
      </w:pPr>
      <w:r>
        <w:t>What Tharaa must never become</w:t>
      </w:r>
    </w:p>
    <w:p w:rsidR="00FD67E1" w:rsidRDefault="00EE0B9A">
      <w:r>
        <w:t>A generic coworking space, ceremonial government initiative, event venue, grant programme, conventional investment fund or ecosystem measured primarily by followers, impressions and publicity.</w:t>
      </w:r>
    </w:p>
    <w:p w:rsidR="00FD67E1" w:rsidRDefault="00EE0B9A">
      <w:pPr>
        <w:pStyle w:val="Heading1"/>
      </w:pPr>
      <w:r>
        <w:t>3. Positioning and Differentiation</w:t>
      </w:r>
    </w:p>
    <w:p w:rsidR="00FD67E1" w:rsidRDefault="00EE0B9A">
      <w:r>
        <w:t>For entrepreneurs, SMEs, investors, corporates and institutions, Tharaa is an integrated economic-development and business ecosystem that connects physical infrastructure, venture building, capital, shared services and community on a single platform, unlike fragmented standalone hubs or programmes.</w:t>
      </w:r>
    </w:p>
    <w:p w:rsidR="00FD67E1" w:rsidRDefault="00EE0B9A">
      <w:pPr>
        <w:pStyle w:val="CompactBullet"/>
      </w:pPr>
      <w:r>
        <w:t>Integrated founder journey: idea, incorporation, workspace, incubation, acceleration, investment readiness, capital, market access, shared services and scale.</w:t>
      </w:r>
    </w:p>
    <w:p w:rsidR="00FD67E1" w:rsidRDefault="00EE0B9A">
      <w:pPr>
        <w:pStyle w:val="CompactBullet"/>
      </w:pPr>
      <w:r>
        <w:t>Equity-oriented, Sharia-aligned venture participation designed around real partnership and value creation; the agency must not describe products as Sharia-compliant unless formally certified.</w:t>
      </w:r>
    </w:p>
    <w:p w:rsidR="00FD67E1" w:rsidRDefault="00EE0B9A">
      <w:pPr>
        <w:pStyle w:val="CompactBullet"/>
      </w:pPr>
      <w:r>
        <w:lastRenderedPageBreak/>
        <w:t>Deep portfolio support from establishment through growth and potential exit or IPO, covering finance, HR, sales, customer service, marketing, office operations and technology support.</w:t>
      </w:r>
    </w:p>
    <w:p w:rsidR="00FD67E1" w:rsidRDefault="00EE0B9A">
      <w:pPr>
        <w:pStyle w:val="CompactBullet"/>
      </w:pPr>
      <w:r>
        <w:t>Quality-of-life enablement for founders and teams, including accommodation, education, healthcare and mission-visa partnerships where formally contracted and approved.</w:t>
      </w:r>
    </w:p>
    <w:p w:rsidR="00FD67E1" w:rsidRDefault="00EE0B9A">
      <w:pPr>
        <w:pStyle w:val="CompactBullet"/>
      </w:pPr>
      <w:r>
        <w:t>Direct connection to the private sector and public-sector economic-development priorities.</w:t>
      </w:r>
    </w:p>
    <w:p w:rsidR="00FD67E1" w:rsidRDefault="00EE0B9A">
      <w:pPr>
        <w:pStyle w:val="CompactBullet"/>
      </w:pPr>
      <w:r>
        <w:t>Support for technology and non-technology businesses, local founders and international entrants.</w:t>
      </w:r>
    </w:p>
    <w:p w:rsidR="00FD67E1" w:rsidRDefault="00EE0B9A">
      <w:pPr>
        <w:pStyle w:val="Heading1"/>
      </w:pPr>
      <w:r>
        <w:t>4. Brand Architecture</w:t>
      </w:r>
    </w:p>
    <w:p w:rsidR="00FD67E1" w:rsidRDefault="00EE0B9A">
      <w:r>
        <w:t>Tharaa will use a master-brand hybrid architecture. Tharaa is the dominant master brand; each operating company has a clear function and distinct expression while remaining unmistakably part of one ecosystem. The agency must test and formalise an endorsement system such as “Tharaa Hub — A Tharaa Company”.</w:t>
      </w:r>
    </w:p>
    <w:tbl>
      <w:tblPr>
        <w:tblStyle w:val="TableGrid"/>
        <w:tblW w:w="0" w:type="auto"/>
        <w:jc w:val="center"/>
        <w:tblLook w:val="04A0" w:firstRow="1" w:lastRow="0" w:firstColumn="1" w:lastColumn="0" w:noHBand="0" w:noVBand="1"/>
      </w:tblPr>
      <w:tblGrid>
        <w:gridCol w:w="1728"/>
        <w:gridCol w:w="4752"/>
        <w:gridCol w:w="2880"/>
      </w:tblGrid>
      <w:tr w:rsidR="00FD67E1">
        <w:trPr>
          <w:cantSplit/>
          <w:tblHeader/>
          <w:jc w:val="center"/>
        </w:trPr>
        <w:tc>
          <w:tcPr>
            <w:tcW w:w="1728" w:type="dxa"/>
            <w:shd w:val="clear" w:color="auto" w:fill="13283F"/>
            <w:tcMar>
              <w:top w:w="80" w:type="dxa"/>
              <w:left w:w="100" w:type="dxa"/>
              <w:bottom w:w="80" w:type="dxa"/>
              <w:right w:w="100" w:type="dxa"/>
            </w:tcMar>
          </w:tcPr>
          <w:p w:rsidR="00FD67E1" w:rsidRDefault="00EE0B9A">
            <w:r>
              <w:rPr>
                <w:b/>
                <w:color w:val="FFFFFF"/>
                <w:sz w:val="16"/>
              </w:rPr>
              <w:t>Entity</w:t>
            </w:r>
          </w:p>
        </w:tc>
        <w:tc>
          <w:tcPr>
            <w:tcW w:w="4752" w:type="dxa"/>
            <w:shd w:val="clear" w:color="auto" w:fill="13283F"/>
            <w:tcMar>
              <w:top w:w="80" w:type="dxa"/>
              <w:left w:w="100" w:type="dxa"/>
              <w:bottom w:w="80" w:type="dxa"/>
              <w:right w:w="100" w:type="dxa"/>
            </w:tcMar>
          </w:tcPr>
          <w:p w:rsidR="00FD67E1" w:rsidRDefault="00EE0B9A">
            <w:r>
              <w:rPr>
                <w:b/>
                <w:color w:val="FFFFFF"/>
                <w:sz w:val="16"/>
              </w:rPr>
              <w:t>Mandate</w:t>
            </w:r>
          </w:p>
        </w:tc>
        <w:tc>
          <w:tcPr>
            <w:tcW w:w="2880" w:type="dxa"/>
            <w:shd w:val="clear" w:color="auto" w:fill="13283F"/>
            <w:tcMar>
              <w:top w:w="80" w:type="dxa"/>
              <w:left w:w="100" w:type="dxa"/>
              <w:bottom w:w="80" w:type="dxa"/>
              <w:right w:w="100" w:type="dxa"/>
            </w:tcMar>
          </w:tcPr>
          <w:p w:rsidR="00FD67E1" w:rsidRDefault="00EE0B9A">
            <w:r>
              <w:rPr>
                <w:b/>
                <w:color w:val="FFFFFF"/>
                <w:sz w:val="16"/>
              </w:rPr>
              <w:t>Primary audiences</w:t>
            </w:r>
          </w:p>
        </w:tc>
      </w:tr>
      <w:tr w:rsidR="00FD67E1">
        <w:trPr>
          <w:cantSplit/>
          <w:jc w:val="center"/>
        </w:trPr>
        <w:tc>
          <w:tcPr>
            <w:tcW w:w="1728" w:type="dxa"/>
            <w:tcMar>
              <w:top w:w="80" w:type="dxa"/>
              <w:left w:w="100" w:type="dxa"/>
              <w:bottom w:w="80" w:type="dxa"/>
              <w:right w:w="100" w:type="dxa"/>
            </w:tcMar>
            <w:vAlign w:val="center"/>
          </w:tcPr>
          <w:p w:rsidR="00FD67E1" w:rsidRDefault="00EE0B9A">
            <w:pPr>
              <w:spacing w:after="0"/>
            </w:pPr>
            <w:r>
              <w:rPr>
                <w:sz w:val="16"/>
              </w:rPr>
              <w:t>Tharaa Holding</w:t>
            </w:r>
          </w:p>
        </w:tc>
        <w:tc>
          <w:tcPr>
            <w:tcW w:w="4752" w:type="dxa"/>
            <w:tcMar>
              <w:top w:w="80" w:type="dxa"/>
              <w:left w:w="100" w:type="dxa"/>
              <w:bottom w:w="80" w:type="dxa"/>
              <w:right w:w="100" w:type="dxa"/>
            </w:tcMar>
            <w:vAlign w:val="center"/>
          </w:tcPr>
          <w:p w:rsidR="00FD67E1" w:rsidRDefault="00EE0B9A">
            <w:pPr>
              <w:spacing w:after="0"/>
            </w:pPr>
            <w:r>
              <w:rPr>
                <w:sz w:val="16"/>
              </w:rPr>
              <w:t>Parent company; group strategy, governance, performance oversight and institutional relationships.</w:t>
            </w:r>
          </w:p>
        </w:tc>
        <w:tc>
          <w:tcPr>
            <w:tcW w:w="2880" w:type="dxa"/>
            <w:tcMar>
              <w:top w:w="80" w:type="dxa"/>
              <w:left w:w="100" w:type="dxa"/>
              <w:bottom w:w="80" w:type="dxa"/>
              <w:right w:w="100" w:type="dxa"/>
            </w:tcMar>
            <w:vAlign w:val="center"/>
          </w:tcPr>
          <w:p w:rsidR="00FD67E1" w:rsidRDefault="00EE0B9A">
            <w:pPr>
              <w:spacing w:after="0"/>
            </w:pPr>
            <w:r>
              <w:rPr>
                <w:sz w:val="16"/>
              </w:rPr>
              <w:t>Ajman Chamber, Board, government, strategic partners and investors.</w:t>
            </w:r>
          </w:p>
        </w:tc>
      </w:tr>
      <w:tr w:rsidR="00FD67E1">
        <w:trPr>
          <w:cantSplit/>
          <w:jc w:val="center"/>
        </w:trPr>
        <w:tc>
          <w:tcPr>
            <w:tcW w:w="1728" w:type="dxa"/>
            <w:shd w:val="clear" w:color="auto" w:fill="F4F7F8"/>
            <w:tcMar>
              <w:top w:w="80" w:type="dxa"/>
              <w:left w:w="100" w:type="dxa"/>
              <w:bottom w:w="80" w:type="dxa"/>
              <w:right w:w="100" w:type="dxa"/>
            </w:tcMar>
            <w:vAlign w:val="center"/>
          </w:tcPr>
          <w:p w:rsidR="00FD67E1" w:rsidRDefault="00EE0B9A">
            <w:pPr>
              <w:spacing w:after="0"/>
            </w:pPr>
            <w:r>
              <w:rPr>
                <w:sz w:val="16"/>
              </w:rPr>
              <w:t>Tharaa Hub</w:t>
            </w:r>
          </w:p>
        </w:tc>
        <w:tc>
          <w:tcPr>
            <w:tcW w:w="4752" w:type="dxa"/>
            <w:shd w:val="clear" w:color="auto" w:fill="F4F7F8"/>
            <w:tcMar>
              <w:top w:w="80" w:type="dxa"/>
              <w:left w:w="100" w:type="dxa"/>
              <w:bottom w:w="80" w:type="dxa"/>
              <w:right w:w="100" w:type="dxa"/>
            </w:tcMar>
            <w:vAlign w:val="center"/>
          </w:tcPr>
          <w:p w:rsidR="00FD67E1" w:rsidRDefault="00EE0B9A">
            <w:pPr>
              <w:spacing w:after="0"/>
            </w:pPr>
            <w:r>
              <w:rPr>
                <w:sz w:val="16"/>
              </w:rPr>
              <w:t>Physical and commercial business, innovation and community platform; offices, desks, meetings, training, events and corporate programmes.</w:t>
            </w:r>
          </w:p>
        </w:tc>
        <w:tc>
          <w:tcPr>
            <w:tcW w:w="2880" w:type="dxa"/>
            <w:shd w:val="clear" w:color="auto" w:fill="F4F7F8"/>
            <w:tcMar>
              <w:top w:w="80" w:type="dxa"/>
              <w:left w:w="100" w:type="dxa"/>
              <w:bottom w:w="80" w:type="dxa"/>
              <w:right w:w="100" w:type="dxa"/>
            </w:tcMar>
            <w:vAlign w:val="center"/>
          </w:tcPr>
          <w:p w:rsidR="00FD67E1" w:rsidRDefault="00EE0B9A">
            <w:pPr>
              <w:spacing w:after="0"/>
            </w:pPr>
            <w:r>
              <w:rPr>
                <w:sz w:val="16"/>
              </w:rPr>
              <w:t>Founders, SMEs, corporates, government programmes and community members.</w:t>
            </w:r>
          </w:p>
        </w:tc>
      </w:tr>
      <w:tr w:rsidR="00FD67E1">
        <w:trPr>
          <w:cantSplit/>
          <w:jc w:val="center"/>
        </w:trPr>
        <w:tc>
          <w:tcPr>
            <w:tcW w:w="1728" w:type="dxa"/>
            <w:tcMar>
              <w:top w:w="80" w:type="dxa"/>
              <w:left w:w="100" w:type="dxa"/>
              <w:bottom w:w="80" w:type="dxa"/>
              <w:right w:w="100" w:type="dxa"/>
            </w:tcMar>
            <w:vAlign w:val="center"/>
          </w:tcPr>
          <w:p w:rsidR="00FD67E1" w:rsidRDefault="00EE0B9A">
            <w:pPr>
              <w:spacing w:after="0"/>
            </w:pPr>
            <w:r>
              <w:rPr>
                <w:sz w:val="16"/>
              </w:rPr>
              <w:t>Tharaa X</w:t>
            </w:r>
          </w:p>
        </w:tc>
        <w:tc>
          <w:tcPr>
            <w:tcW w:w="4752" w:type="dxa"/>
            <w:tcMar>
              <w:top w:w="80" w:type="dxa"/>
              <w:left w:w="100" w:type="dxa"/>
              <w:bottom w:w="80" w:type="dxa"/>
              <w:right w:w="100" w:type="dxa"/>
            </w:tcMar>
            <w:vAlign w:val="center"/>
          </w:tcPr>
          <w:p w:rsidR="00FD67E1" w:rsidRDefault="00EE0B9A">
            <w:pPr>
              <w:spacing w:after="0"/>
            </w:pPr>
            <w:r>
              <w:rPr>
                <w:sz w:val="16"/>
              </w:rPr>
              <w:t>Venture building, incubation and acceleration; targeted model of two 16-week cohorts per year, 30 ventures per cohort, followed by alumni support.</w:t>
            </w:r>
          </w:p>
        </w:tc>
        <w:tc>
          <w:tcPr>
            <w:tcW w:w="2880" w:type="dxa"/>
            <w:tcMar>
              <w:top w:w="80" w:type="dxa"/>
              <w:left w:w="100" w:type="dxa"/>
              <w:bottom w:w="80" w:type="dxa"/>
              <w:right w:w="100" w:type="dxa"/>
            </w:tcMar>
            <w:vAlign w:val="center"/>
          </w:tcPr>
          <w:p w:rsidR="00FD67E1" w:rsidRDefault="00EE0B9A">
            <w:pPr>
              <w:spacing w:after="0"/>
            </w:pPr>
            <w:r>
              <w:rPr>
                <w:sz w:val="16"/>
              </w:rPr>
              <w:t>Startups, SME founders, mentors, universities and ecosystem partners.</w:t>
            </w:r>
          </w:p>
        </w:tc>
      </w:tr>
      <w:tr w:rsidR="00FD67E1">
        <w:trPr>
          <w:cantSplit/>
          <w:jc w:val="center"/>
        </w:trPr>
        <w:tc>
          <w:tcPr>
            <w:tcW w:w="1728" w:type="dxa"/>
            <w:shd w:val="clear" w:color="auto" w:fill="F4F7F8"/>
            <w:tcMar>
              <w:top w:w="80" w:type="dxa"/>
              <w:left w:w="100" w:type="dxa"/>
              <w:bottom w:w="80" w:type="dxa"/>
              <w:right w:w="100" w:type="dxa"/>
            </w:tcMar>
            <w:vAlign w:val="center"/>
          </w:tcPr>
          <w:p w:rsidR="00FD67E1" w:rsidRDefault="00EE0B9A">
            <w:pPr>
              <w:spacing w:after="0"/>
            </w:pPr>
            <w:r>
              <w:rPr>
                <w:sz w:val="16"/>
              </w:rPr>
              <w:t>Tharaa Capital</w:t>
            </w:r>
          </w:p>
        </w:tc>
        <w:tc>
          <w:tcPr>
            <w:tcW w:w="4752" w:type="dxa"/>
            <w:shd w:val="clear" w:color="auto" w:fill="F4F7F8"/>
            <w:tcMar>
              <w:top w:w="80" w:type="dxa"/>
              <w:left w:w="100" w:type="dxa"/>
              <w:bottom w:w="80" w:type="dxa"/>
              <w:right w:w="100" w:type="dxa"/>
            </w:tcMar>
            <w:vAlign w:val="center"/>
          </w:tcPr>
          <w:p w:rsidR="00FD67E1" w:rsidRDefault="00EE0B9A">
            <w:pPr>
              <w:spacing w:after="0"/>
            </w:pPr>
            <w:r>
              <w:rPr>
                <w:sz w:val="16"/>
              </w:rPr>
              <w:t>Disciplined investment and strategic-capital platform supporting selected opportunities and portfolio growth.</w:t>
            </w:r>
          </w:p>
        </w:tc>
        <w:tc>
          <w:tcPr>
            <w:tcW w:w="2880" w:type="dxa"/>
            <w:shd w:val="clear" w:color="auto" w:fill="F4F7F8"/>
            <w:tcMar>
              <w:top w:w="80" w:type="dxa"/>
              <w:left w:w="100" w:type="dxa"/>
              <w:bottom w:w="80" w:type="dxa"/>
              <w:right w:w="100" w:type="dxa"/>
            </w:tcMar>
            <w:vAlign w:val="center"/>
          </w:tcPr>
          <w:p w:rsidR="00FD67E1" w:rsidRDefault="00EE0B9A">
            <w:pPr>
              <w:spacing w:after="0"/>
            </w:pPr>
            <w:r>
              <w:rPr>
                <w:sz w:val="16"/>
              </w:rPr>
              <w:t>Founders, co-investors, family offices, institutions and strategic investors.</w:t>
            </w:r>
          </w:p>
        </w:tc>
      </w:tr>
      <w:tr w:rsidR="00FD67E1">
        <w:trPr>
          <w:cantSplit/>
          <w:jc w:val="center"/>
        </w:trPr>
        <w:tc>
          <w:tcPr>
            <w:tcW w:w="1728" w:type="dxa"/>
            <w:tcMar>
              <w:top w:w="80" w:type="dxa"/>
              <w:left w:w="100" w:type="dxa"/>
              <w:bottom w:w="80" w:type="dxa"/>
              <w:right w:w="100" w:type="dxa"/>
            </w:tcMar>
            <w:vAlign w:val="center"/>
          </w:tcPr>
          <w:p w:rsidR="00FD67E1" w:rsidRDefault="00EE0B9A">
            <w:pPr>
              <w:spacing w:after="0"/>
            </w:pPr>
            <w:r>
              <w:rPr>
                <w:sz w:val="16"/>
              </w:rPr>
              <w:t>Tharaa Xperience</w:t>
            </w:r>
          </w:p>
        </w:tc>
        <w:tc>
          <w:tcPr>
            <w:tcW w:w="4752" w:type="dxa"/>
            <w:tcMar>
              <w:top w:w="80" w:type="dxa"/>
              <w:left w:w="100" w:type="dxa"/>
              <w:bottom w:w="80" w:type="dxa"/>
              <w:right w:w="100" w:type="dxa"/>
            </w:tcMar>
            <w:vAlign w:val="center"/>
          </w:tcPr>
          <w:p w:rsidR="00FD67E1" w:rsidRDefault="00EE0B9A">
            <w:pPr>
              <w:spacing w:after="0"/>
            </w:pPr>
            <w:r>
              <w:rPr>
                <w:sz w:val="16"/>
              </w:rPr>
              <w:t>Shared-services, outsourcing and business-support platform; intended employing entity for group personnel and provider of operational support.</w:t>
            </w:r>
          </w:p>
        </w:tc>
        <w:tc>
          <w:tcPr>
            <w:tcW w:w="2880" w:type="dxa"/>
            <w:tcMar>
              <w:top w:w="80" w:type="dxa"/>
              <w:left w:w="100" w:type="dxa"/>
              <w:bottom w:w="80" w:type="dxa"/>
              <w:right w:w="100" w:type="dxa"/>
            </w:tcMar>
            <w:vAlign w:val="center"/>
          </w:tcPr>
          <w:p w:rsidR="00FD67E1" w:rsidRDefault="00EE0B9A">
            <w:pPr>
              <w:spacing w:after="0"/>
            </w:pPr>
            <w:r>
              <w:rPr>
                <w:sz w:val="16"/>
              </w:rPr>
              <w:t>Tharaa entities, portfolio companies, SMEs, corporates and government entities.</w:t>
            </w:r>
          </w:p>
        </w:tc>
      </w:tr>
      <w:tr w:rsidR="00FD67E1">
        <w:trPr>
          <w:cantSplit/>
          <w:jc w:val="center"/>
        </w:trPr>
        <w:tc>
          <w:tcPr>
            <w:tcW w:w="1728" w:type="dxa"/>
            <w:shd w:val="clear" w:color="auto" w:fill="F4F7F8"/>
            <w:tcMar>
              <w:top w:w="80" w:type="dxa"/>
              <w:left w:w="100" w:type="dxa"/>
              <w:bottom w:w="80" w:type="dxa"/>
              <w:right w:w="100" w:type="dxa"/>
            </w:tcMar>
            <w:vAlign w:val="center"/>
          </w:tcPr>
          <w:p w:rsidR="00FD67E1" w:rsidRDefault="00EE0B9A">
            <w:pPr>
              <w:spacing w:after="0"/>
            </w:pPr>
            <w:r>
              <w:rPr>
                <w:sz w:val="16"/>
              </w:rPr>
              <w:t>Tharaa Foundation</w:t>
            </w:r>
          </w:p>
        </w:tc>
        <w:tc>
          <w:tcPr>
            <w:tcW w:w="4752" w:type="dxa"/>
            <w:shd w:val="clear" w:color="auto" w:fill="F4F7F8"/>
            <w:tcMar>
              <w:top w:w="80" w:type="dxa"/>
              <w:left w:w="100" w:type="dxa"/>
              <w:bottom w:w="80" w:type="dxa"/>
              <w:right w:w="100" w:type="dxa"/>
            </w:tcMar>
            <w:vAlign w:val="center"/>
          </w:tcPr>
          <w:p w:rsidR="00FD67E1" w:rsidRDefault="00EE0B9A">
            <w:pPr>
              <w:spacing w:after="0"/>
            </w:pPr>
            <w:r>
              <w:rPr>
                <w:sz w:val="16"/>
              </w:rPr>
              <w:t>Social-impact and community-development arm.</w:t>
            </w:r>
          </w:p>
        </w:tc>
        <w:tc>
          <w:tcPr>
            <w:tcW w:w="2880" w:type="dxa"/>
            <w:shd w:val="clear" w:color="auto" w:fill="F4F7F8"/>
            <w:tcMar>
              <w:top w:w="80" w:type="dxa"/>
              <w:left w:w="100" w:type="dxa"/>
              <w:bottom w:w="80" w:type="dxa"/>
              <w:right w:w="100" w:type="dxa"/>
            </w:tcMar>
            <w:vAlign w:val="center"/>
          </w:tcPr>
          <w:p w:rsidR="00FD67E1" w:rsidRDefault="00EE0B9A">
            <w:pPr>
              <w:spacing w:after="0"/>
            </w:pPr>
            <w:r>
              <w:rPr>
                <w:sz w:val="16"/>
              </w:rPr>
              <w:t>Communities, youth, women, UAE nationals, people of determination, students, donors and institutional partners.</w:t>
            </w:r>
          </w:p>
        </w:tc>
      </w:tr>
    </w:tbl>
    <w:p w:rsidR="00FD67E1" w:rsidRDefault="00FD67E1">
      <w:pPr>
        <w:spacing w:after="0"/>
      </w:pPr>
    </w:p>
    <w:p w:rsidR="00FD67E1" w:rsidRDefault="00EE0B9A">
      <w:pPr>
        <w:pStyle w:val="Heading2"/>
      </w:pPr>
      <w:r>
        <w:t>Naming note</w:t>
      </w:r>
    </w:p>
    <w:p w:rsidR="00FD67E1" w:rsidRDefault="00EE0B9A">
      <w:r>
        <w:t>All English references must use “Tharaa”. The appointed agency must validate the final Arabic naming, transliteration, legal-name presentation and entity descriptors against incorporation documents before public launch.</w:t>
      </w:r>
    </w:p>
    <w:p w:rsidR="00FD67E1" w:rsidRDefault="00EE0B9A">
      <w:pPr>
        <w:pStyle w:val="Heading1"/>
      </w:pPr>
      <w:r>
        <w:t>5. Priority Audiences</w:t>
      </w:r>
    </w:p>
    <w:tbl>
      <w:tblPr>
        <w:tblStyle w:val="TableGrid"/>
        <w:tblW w:w="0" w:type="auto"/>
        <w:jc w:val="center"/>
        <w:tblLook w:val="04A0" w:firstRow="1" w:lastRow="0" w:firstColumn="1" w:lastColumn="0" w:noHBand="0" w:noVBand="1"/>
      </w:tblPr>
      <w:tblGrid>
        <w:gridCol w:w="1008"/>
        <w:gridCol w:w="3312"/>
        <w:gridCol w:w="5040"/>
      </w:tblGrid>
      <w:tr w:rsidR="00FD67E1">
        <w:trPr>
          <w:cantSplit/>
          <w:tblHeader/>
          <w:jc w:val="center"/>
        </w:trPr>
        <w:tc>
          <w:tcPr>
            <w:tcW w:w="1008" w:type="dxa"/>
            <w:shd w:val="clear" w:color="auto" w:fill="13283F"/>
            <w:tcMar>
              <w:top w:w="80" w:type="dxa"/>
              <w:left w:w="100" w:type="dxa"/>
              <w:bottom w:w="80" w:type="dxa"/>
              <w:right w:w="100" w:type="dxa"/>
            </w:tcMar>
          </w:tcPr>
          <w:p w:rsidR="00FD67E1" w:rsidRDefault="00EE0B9A">
            <w:r>
              <w:rPr>
                <w:b/>
                <w:color w:val="FFFFFF"/>
                <w:sz w:val="16"/>
              </w:rPr>
              <w:t>Priority</w:t>
            </w:r>
          </w:p>
        </w:tc>
        <w:tc>
          <w:tcPr>
            <w:tcW w:w="3312" w:type="dxa"/>
            <w:shd w:val="clear" w:color="auto" w:fill="13283F"/>
            <w:tcMar>
              <w:top w:w="80" w:type="dxa"/>
              <w:left w:w="100" w:type="dxa"/>
              <w:bottom w:w="80" w:type="dxa"/>
              <w:right w:w="100" w:type="dxa"/>
            </w:tcMar>
          </w:tcPr>
          <w:p w:rsidR="00FD67E1" w:rsidRDefault="00EE0B9A">
            <w:r>
              <w:rPr>
                <w:b/>
                <w:color w:val="FFFFFF"/>
                <w:sz w:val="16"/>
              </w:rPr>
              <w:t>Audience</w:t>
            </w:r>
          </w:p>
        </w:tc>
        <w:tc>
          <w:tcPr>
            <w:tcW w:w="5040" w:type="dxa"/>
            <w:shd w:val="clear" w:color="auto" w:fill="13283F"/>
            <w:tcMar>
              <w:top w:w="80" w:type="dxa"/>
              <w:left w:w="100" w:type="dxa"/>
              <w:bottom w:w="80" w:type="dxa"/>
              <w:right w:w="100" w:type="dxa"/>
            </w:tcMar>
          </w:tcPr>
          <w:p w:rsidR="00FD67E1" w:rsidRDefault="00EE0B9A">
            <w:r>
              <w:rPr>
                <w:b/>
                <w:color w:val="FFFFFF"/>
                <w:sz w:val="16"/>
              </w:rPr>
              <w:t>What Tharaa offers</w:t>
            </w:r>
          </w:p>
        </w:tc>
      </w:tr>
      <w:tr w:rsidR="00FD67E1">
        <w:trPr>
          <w:cantSplit/>
          <w:jc w:val="center"/>
        </w:trPr>
        <w:tc>
          <w:tcPr>
            <w:tcW w:w="1008" w:type="dxa"/>
            <w:tcMar>
              <w:top w:w="80" w:type="dxa"/>
              <w:left w:w="100" w:type="dxa"/>
              <w:bottom w:w="80" w:type="dxa"/>
              <w:right w:w="100" w:type="dxa"/>
            </w:tcMar>
            <w:vAlign w:val="center"/>
          </w:tcPr>
          <w:p w:rsidR="00FD67E1" w:rsidRDefault="00EE0B9A">
            <w:pPr>
              <w:spacing w:after="0"/>
            </w:pPr>
            <w:r>
              <w:rPr>
                <w:sz w:val="16"/>
              </w:rPr>
              <w:t>1</w:t>
            </w:r>
          </w:p>
        </w:tc>
        <w:tc>
          <w:tcPr>
            <w:tcW w:w="3312" w:type="dxa"/>
            <w:tcMar>
              <w:top w:w="80" w:type="dxa"/>
              <w:left w:w="100" w:type="dxa"/>
              <w:bottom w:w="80" w:type="dxa"/>
              <w:right w:w="100" w:type="dxa"/>
            </w:tcMar>
            <w:vAlign w:val="center"/>
          </w:tcPr>
          <w:p w:rsidR="00FD67E1" w:rsidRDefault="00EE0B9A">
            <w:pPr>
              <w:spacing w:after="0"/>
            </w:pPr>
            <w:r>
              <w:rPr>
                <w:sz w:val="16"/>
              </w:rPr>
              <w:t>Startup and SME founders</w:t>
            </w:r>
          </w:p>
        </w:tc>
        <w:tc>
          <w:tcPr>
            <w:tcW w:w="5040" w:type="dxa"/>
            <w:tcMar>
              <w:top w:w="80" w:type="dxa"/>
              <w:left w:w="100" w:type="dxa"/>
              <w:bottom w:w="80" w:type="dxa"/>
              <w:right w:w="100" w:type="dxa"/>
            </w:tcMar>
            <w:vAlign w:val="center"/>
          </w:tcPr>
          <w:p w:rsidR="00FD67E1" w:rsidRDefault="00EE0B9A">
            <w:pPr>
              <w:spacing w:after="0"/>
            </w:pPr>
            <w:r>
              <w:rPr>
                <w:sz w:val="16"/>
              </w:rPr>
              <w:t>An end-to-end platform offering workspace, incubation, acceleration, business services, mentors, networks and access to capital.</w:t>
            </w:r>
          </w:p>
        </w:tc>
      </w:tr>
      <w:tr w:rsidR="00FD67E1">
        <w:trPr>
          <w:cantSplit/>
          <w:jc w:val="center"/>
        </w:trPr>
        <w:tc>
          <w:tcPr>
            <w:tcW w:w="1008" w:type="dxa"/>
            <w:shd w:val="clear" w:color="auto" w:fill="F4F7F8"/>
            <w:tcMar>
              <w:top w:w="80" w:type="dxa"/>
              <w:left w:w="100" w:type="dxa"/>
              <w:bottom w:w="80" w:type="dxa"/>
              <w:right w:w="100" w:type="dxa"/>
            </w:tcMar>
            <w:vAlign w:val="center"/>
          </w:tcPr>
          <w:p w:rsidR="00FD67E1" w:rsidRDefault="00EE0B9A">
            <w:pPr>
              <w:spacing w:after="0"/>
            </w:pPr>
            <w:r>
              <w:rPr>
                <w:sz w:val="16"/>
              </w:rPr>
              <w:t>2</w:t>
            </w:r>
          </w:p>
        </w:tc>
        <w:tc>
          <w:tcPr>
            <w:tcW w:w="3312" w:type="dxa"/>
            <w:shd w:val="clear" w:color="auto" w:fill="F4F7F8"/>
            <w:tcMar>
              <w:top w:w="80" w:type="dxa"/>
              <w:left w:w="100" w:type="dxa"/>
              <w:bottom w:w="80" w:type="dxa"/>
              <w:right w:w="100" w:type="dxa"/>
            </w:tcMar>
            <w:vAlign w:val="center"/>
          </w:tcPr>
          <w:p w:rsidR="00FD67E1" w:rsidRDefault="00EE0B9A">
            <w:pPr>
              <w:spacing w:after="0"/>
            </w:pPr>
            <w:r>
              <w:rPr>
                <w:sz w:val="16"/>
              </w:rPr>
              <w:t>All types of investors</w:t>
            </w:r>
          </w:p>
        </w:tc>
        <w:tc>
          <w:tcPr>
            <w:tcW w:w="5040" w:type="dxa"/>
            <w:shd w:val="clear" w:color="auto" w:fill="F4F7F8"/>
            <w:tcMar>
              <w:top w:w="80" w:type="dxa"/>
              <w:left w:w="100" w:type="dxa"/>
              <w:bottom w:w="80" w:type="dxa"/>
              <w:right w:w="100" w:type="dxa"/>
            </w:tcMar>
            <w:vAlign w:val="center"/>
          </w:tcPr>
          <w:p w:rsidR="00FD67E1" w:rsidRDefault="00EE0B9A">
            <w:pPr>
              <w:spacing w:after="0"/>
            </w:pPr>
            <w:r>
              <w:rPr>
                <w:sz w:val="16"/>
              </w:rPr>
              <w:t>A structured source of investable opportunities, local market access, ecosystem intelligence, co-investment potential and portfolio support.</w:t>
            </w:r>
          </w:p>
        </w:tc>
      </w:tr>
      <w:tr w:rsidR="00FD67E1">
        <w:trPr>
          <w:cantSplit/>
          <w:jc w:val="center"/>
        </w:trPr>
        <w:tc>
          <w:tcPr>
            <w:tcW w:w="1008" w:type="dxa"/>
            <w:tcMar>
              <w:top w:w="80" w:type="dxa"/>
              <w:left w:w="100" w:type="dxa"/>
              <w:bottom w:w="80" w:type="dxa"/>
              <w:right w:w="100" w:type="dxa"/>
            </w:tcMar>
            <w:vAlign w:val="center"/>
          </w:tcPr>
          <w:p w:rsidR="00FD67E1" w:rsidRDefault="00EE0B9A">
            <w:pPr>
              <w:spacing w:after="0"/>
            </w:pPr>
            <w:r>
              <w:rPr>
                <w:sz w:val="16"/>
              </w:rPr>
              <w:t>3</w:t>
            </w:r>
          </w:p>
        </w:tc>
        <w:tc>
          <w:tcPr>
            <w:tcW w:w="3312" w:type="dxa"/>
            <w:tcMar>
              <w:top w:w="80" w:type="dxa"/>
              <w:left w:w="100" w:type="dxa"/>
              <w:bottom w:w="80" w:type="dxa"/>
              <w:right w:w="100" w:type="dxa"/>
            </w:tcMar>
            <w:vAlign w:val="center"/>
          </w:tcPr>
          <w:p w:rsidR="00FD67E1" w:rsidRDefault="00EE0B9A">
            <w:pPr>
              <w:spacing w:after="0"/>
            </w:pPr>
            <w:r>
              <w:rPr>
                <w:sz w:val="16"/>
              </w:rPr>
              <w:t>Ajman Government, corporates and foundations</w:t>
            </w:r>
          </w:p>
        </w:tc>
        <w:tc>
          <w:tcPr>
            <w:tcW w:w="5040" w:type="dxa"/>
            <w:tcMar>
              <w:top w:w="80" w:type="dxa"/>
              <w:left w:w="100" w:type="dxa"/>
              <w:bottom w:w="80" w:type="dxa"/>
              <w:right w:w="100" w:type="dxa"/>
            </w:tcMar>
            <w:vAlign w:val="center"/>
          </w:tcPr>
          <w:p w:rsidR="00FD67E1" w:rsidRDefault="00EE0B9A">
            <w:pPr>
              <w:spacing w:after="0"/>
            </w:pPr>
            <w:r>
              <w:rPr>
                <w:sz w:val="16"/>
              </w:rPr>
              <w:t>A delivery platform for economic-development objectives with measurable outcomes across companies, jobs, investment, entrepreneurship and community participation.</w:t>
            </w:r>
          </w:p>
        </w:tc>
      </w:tr>
    </w:tbl>
    <w:p w:rsidR="00FD67E1" w:rsidRDefault="00FD67E1">
      <w:pPr>
        <w:spacing w:after="0"/>
      </w:pPr>
    </w:p>
    <w:p w:rsidR="00FD67E1" w:rsidRDefault="00EE0B9A">
      <w:pPr>
        <w:pStyle w:val="Heading1"/>
      </w:pPr>
      <w:r>
        <w:lastRenderedPageBreak/>
        <w:t>6. Messaging Framework</w:t>
      </w:r>
    </w:p>
    <w:tbl>
      <w:tblPr>
        <w:tblStyle w:val="TableGrid"/>
        <w:tblW w:w="0" w:type="auto"/>
        <w:jc w:val="center"/>
        <w:tblLook w:val="04A0" w:firstRow="1" w:lastRow="0" w:firstColumn="1" w:lastColumn="0" w:noHBand="0" w:noVBand="1"/>
      </w:tblPr>
      <w:tblGrid>
        <w:gridCol w:w="2016"/>
        <w:gridCol w:w="7632"/>
      </w:tblGrid>
      <w:tr w:rsidR="00FD67E1">
        <w:trPr>
          <w:cantSplit/>
          <w:tblHeader/>
          <w:jc w:val="center"/>
        </w:trPr>
        <w:tc>
          <w:tcPr>
            <w:tcW w:w="2016" w:type="dxa"/>
            <w:shd w:val="clear" w:color="auto" w:fill="13283F"/>
            <w:tcMar>
              <w:top w:w="80" w:type="dxa"/>
              <w:left w:w="100" w:type="dxa"/>
              <w:bottom w:w="80" w:type="dxa"/>
              <w:right w:w="100" w:type="dxa"/>
            </w:tcMar>
          </w:tcPr>
          <w:p w:rsidR="00FD67E1" w:rsidRDefault="00EE0B9A">
            <w:r>
              <w:rPr>
                <w:b/>
                <w:color w:val="FFFFFF"/>
                <w:sz w:val="16"/>
              </w:rPr>
              <w:t>Theme</w:t>
            </w:r>
          </w:p>
        </w:tc>
        <w:tc>
          <w:tcPr>
            <w:tcW w:w="7632" w:type="dxa"/>
            <w:shd w:val="clear" w:color="auto" w:fill="13283F"/>
            <w:tcMar>
              <w:top w:w="80" w:type="dxa"/>
              <w:left w:w="100" w:type="dxa"/>
              <w:bottom w:w="80" w:type="dxa"/>
              <w:right w:w="100" w:type="dxa"/>
            </w:tcMar>
          </w:tcPr>
          <w:p w:rsidR="00FD67E1" w:rsidRDefault="00EE0B9A">
            <w:r>
              <w:rPr>
                <w:b/>
                <w:color w:val="FFFFFF"/>
                <w:sz w:val="16"/>
              </w:rPr>
              <w:t>Message</w:t>
            </w:r>
          </w:p>
        </w:tc>
      </w:tr>
      <w:tr w:rsidR="00FD67E1">
        <w:trPr>
          <w:cantSplit/>
          <w:jc w:val="center"/>
        </w:trPr>
        <w:tc>
          <w:tcPr>
            <w:tcW w:w="2016" w:type="dxa"/>
            <w:tcMar>
              <w:top w:w="80" w:type="dxa"/>
              <w:left w:w="100" w:type="dxa"/>
              <w:bottom w:w="80" w:type="dxa"/>
              <w:right w:w="100" w:type="dxa"/>
            </w:tcMar>
            <w:vAlign w:val="center"/>
          </w:tcPr>
          <w:p w:rsidR="00FD67E1" w:rsidRDefault="00EE0B9A">
            <w:pPr>
              <w:spacing w:after="0"/>
            </w:pPr>
            <w:r>
              <w:rPr>
                <w:sz w:val="16"/>
              </w:rPr>
              <w:t>Master</w:t>
            </w:r>
          </w:p>
        </w:tc>
        <w:tc>
          <w:tcPr>
            <w:tcW w:w="7632" w:type="dxa"/>
            <w:tcMar>
              <w:top w:w="80" w:type="dxa"/>
              <w:left w:w="100" w:type="dxa"/>
              <w:bottom w:w="80" w:type="dxa"/>
              <w:right w:w="100" w:type="dxa"/>
            </w:tcMar>
            <w:vAlign w:val="center"/>
          </w:tcPr>
          <w:p w:rsidR="00FD67E1" w:rsidRDefault="00EE0B9A">
            <w:pPr>
              <w:spacing w:after="0"/>
            </w:pPr>
            <w:r>
              <w:rPr>
                <w:sz w:val="16"/>
              </w:rPr>
              <w:t>Tharaa connects enterprise, entrepreneurship, investment and impact in one ecosystem designed to turn opportunity into sustainable economic value.</w:t>
            </w:r>
          </w:p>
        </w:tc>
      </w:tr>
      <w:tr w:rsidR="00FD67E1">
        <w:trPr>
          <w:cantSplit/>
          <w:jc w:val="center"/>
        </w:trPr>
        <w:tc>
          <w:tcPr>
            <w:tcW w:w="2016" w:type="dxa"/>
            <w:shd w:val="clear" w:color="auto" w:fill="F4F7F8"/>
            <w:tcMar>
              <w:top w:w="80" w:type="dxa"/>
              <w:left w:w="100" w:type="dxa"/>
              <w:bottom w:w="80" w:type="dxa"/>
              <w:right w:w="100" w:type="dxa"/>
            </w:tcMar>
            <w:vAlign w:val="center"/>
          </w:tcPr>
          <w:p w:rsidR="00FD67E1" w:rsidRDefault="00EE0B9A">
            <w:pPr>
              <w:spacing w:after="0"/>
            </w:pPr>
            <w:r>
              <w:rPr>
                <w:sz w:val="16"/>
              </w:rPr>
              <w:t>Entrepreneurship</w:t>
            </w:r>
          </w:p>
        </w:tc>
        <w:tc>
          <w:tcPr>
            <w:tcW w:w="7632" w:type="dxa"/>
            <w:shd w:val="clear" w:color="auto" w:fill="F4F7F8"/>
            <w:tcMar>
              <w:top w:w="80" w:type="dxa"/>
              <w:left w:w="100" w:type="dxa"/>
              <w:bottom w:w="80" w:type="dxa"/>
              <w:right w:w="100" w:type="dxa"/>
            </w:tcMar>
            <w:vAlign w:val="center"/>
          </w:tcPr>
          <w:p w:rsidR="00FD67E1" w:rsidRDefault="00EE0B9A">
            <w:pPr>
              <w:spacing w:after="0"/>
            </w:pPr>
            <w:r>
              <w:rPr>
                <w:sz w:val="16"/>
              </w:rPr>
              <w:t>Tharaa gives founders a connected journey from idea to incubation, acceleration, market access, services and investment.</w:t>
            </w:r>
          </w:p>
        </w:tc>
      </w:tr>
      <w:tr w:rsidR="00FD67E1">
        <w:trPr>
          <w:cantSplit/>
          <w:jc w:val="center"/>
        </w:trPr>
        <w:tc>
          <w:tcPr>
            <w:tcW w:w="2016" w:type="dxa"/>
            <w:tcMar>
              <w:top w:w="80" w:type="dxa"/>
              <w:left w:w="100" w:type="dxa"/>
              <w:bottom w:w="80" w:type="dxa"/>
              <w:right w:w="100" w:type="dxa"/>
            </w:tcMar>
            <w:vAlign w:val="center"/>
          </w:tcPr>
          <w:p w:rsidR="00FD67E1" w:rsidRDefault="00EE0B9A">
            <w:pPr>
              <w:spacing w:after="0"/>
            </w:pPr>
            <w:r>
              <w:rPr>
                <w:sz w:val="16"/>
              </w:rPr>
              <w:t>Investment</w:t>
            </w:r>
          </w:p>
        </w:tc>
        <w:tc>
          <w:tcPr>
            <w:tcW w:w="7632" w:type="dxa"/>
            <w:tcMar>
              <w:top w:w="80" w:type="dxa"/>
              <w:left w:w="100" w:type="dxa"/>
              <w:bottom w:w="80" w:type="dxa"/>
              <w:right w:w="100" w:type="dxa"/>
            </w:tcMar>
            <w:vAlign w:val="center"/>
          </w:tcPr>
          <w:p w:rsidR="00FD67E1" w:rsidRDefault="00EE0B9A">
            <w:pPr>
              <w:spacing w:after="0"/>
            </w:pPr>
            <w:r>
              <w:rPr>
                <w:sz w:val="16"/>
              </w:rPr>
              <w:t>Tharaa Capital connects promising businesses and opportunities with disciplined capital, strategic support and investor networks.</w:t>
            </w:r>
          </w:p>
        </w:tc>
      </w:tr>
      <w:tr w:rsidR="00FD67E1">
        <w:trPr>
          <w:cantSplit/>
          <w:jc w:val="center"/>
        </w:trPr>
        <w:tc>
          <w:tcPr>
            <w:tcW w:w="2016" w:type="dxa"/>
            <w:shd w:val="clear" w:color="auto" w:fill="F4F7F8"/>
            <w:tcMar>
              <w:top w:w="80" w:type="dxa"/>
              <w:left w:w="100" w:type="dxa"/>
              <w:bottom w:w="80" w:type="dxa"/>
              <w:right w:w="100" w:type="dxa"/>
            </w:tcMar>
            <w:vAlign w:val="center"/>
          </w:tcPr>
          <w:p w:rsidR="00FD67E1" w:rsidRDefault="00EE0B9A">
            <w:pPr>
              <w:spacing w:after="0"/>
            </w:pPr>
            <w:r>
              <w:rPr>
                <w:sz w:val="16"/>
              </w:rPr>
              <w:t>Economic development</w:t>
            </w:r>
          </w:p>
        </w:tc>
        <w:tc>
          <w:tcPr>
            <w:tcW w:w="7632" w:type="dxa"/>
            <w:shd w:val="clear" w:color="auto" w:fill="F4F7F8"/>
            <w:tcMar>
              <w:top w:w="80" w:type="dxa"/>
              <w:left w:w="100" w:type="dxa"/>
              <w:bottom w:w="80" w:type="dxa"/>
              <w:right w:w="100" w:type="dxa"/>
            </w:tcMar>
            <w:vAlign w:val="center"/>
          </w:tcPr>
          <w:p w:rsidR="00FD67E1" w:rsidRDefault="00EE0B9A">
            <w:pPr>
              <w:spacing w:after="0"/>
            </w:pPr>
            <w:r>
              <w:rPr>
                <w:sz w:val="16"/>
              </w:rPr>
              <w:t>Tharaa strengthens the private sector by helping businesses start, grow, invest, employ and contribute to Ajman’s economy.</w:t>
            </w:r>
          </w:p>
        </w:tc>
      </w:tr>
      <w:tr w:rsidR="00FD67E1">
        <w:trPr>
          <w:cantSplit/>
          <w:jc w:val="center"/>
        </w:trPr>
        <w:tc>
          <w:tcPr>
            <w:tcW w:w="2016" w:type="dxa"/>
            <w:tcMar>
              <w:top w:w="80" w:type="dxa"/>
              <w:left w:w="100" w:type="dxa"/>
              <w:bottom w:w="80" w:type="dxa"/>
              <w:right w:w="100" w:type="dxa"/>
            </w:tcMar>
            <w:vAlign w:val="center"/>
          </w:tcPr>
          <w:p w:rsidR="00FD67E1" w:rsidRDefault="00EE0B9A">
            <w:pPr>
              <w:spacing w:after="0"/>
            </w:pPr>
            <w:r>
              <w:rPr>
                <w:sz w:val="16"/>
              </w:rPr>
              <w:t>International</w:t>
            </w:r>
          </w:p>
        </w:tc>
        <w:tc>
          <w:tcPr>
            <w:tcW w:w="7632" w:type="dxa"/>
            <w:tcMar>
              <w:top w:w="80" w:type="dxa"/>
              <w:left w:w="100" w:type="dxa"/>
              <w:bottom w:w="80" w:type="dxa"/>
              <w:right w:w="100" w:type="dxa"/>
            </w:tcMar>
            <w:vAlign w:val="center"/>
          </w:tcPr>
          <w:p w:rsidR="00FD67E1" w:rsidRDefault="00EE0B9A">
            <w:pPr>
              <w:spacing w:after="0"/>
            </w:pPr>
            <w:r>
              <w:rPr>
                <w:sz w:val="16"/>
              </w:rPr>
              <w:t>Tharaa offers regional and international companies, founders and investors a connected gateway into Ajman, the UAE and the wider Middle East.</w:t>
            </w:r>
          </w:p>
        </w:tc>
      </w:tr>
    </w:tbl>
    <w:p w:rsidR="00FD67E1" w:rsidRDefault="00FD67E1">
      <w:pPr>
        <w:spacing w:after="0"/>
      </w:pPr>
    </w:p>
    <w:p w:rsidR="00FD67E1" w:rsidRDefault="00EE0B9A">
      <w:pPr>
        <w:pStyle w:val="Heading1"/>
      </w:pPr>
      <w:r>
        <w:t>7. Tone, Language and Editorial Policy</w:t>
      </w:r>
    </w:p>
    <w:p w:rsidR="00FD67E1" w:rsidRDefault="00EE0B9A">
      <w:pPr>
        <w:pStyle w:val="CompactBullet"/>
      </w:pPr>
      <w:r>
        <w:t>Overall tone: confident.</w:t>
      </w:r>
    </w:p>
    <w:p w:rsidR="00FD67E1" w:rsidRDefault="00EE0B9A">
      <w:pPr>
        <w:pStyle w:val="CompactBullet"/>
      </w:pPr>
      <w:r>
        <w:t>Always bilingual: high-quality formal Arabic and professional English, adapted rather than mechanically translated.</w:t>
      </w:r>
    </w:p>
    <w:p w:rsidR="00FD67E1" w:rsidRDefault="00EE0B9A">
      <w:pPr>
        <w:pStyle w:val="CompactBullet"/>
      </w:pPr>
      <w:r>
        <w:t>Lead with outcomes and evidence. Avoid ceremonial language, inflated superlatives, investment solicitation language and unsupported claims.</w:t>
      </w:r>
    </w:p>
    <w:p w:rsidR="00FD67E1" w:rsidRDefault="00EE0B9A">
      <w:pPr>
        <w:pStyle w:val="CompactBullet"/>
      </w:pPr>
      <w:r>
        <w:t>Use official and government marks strictly under approved brand and protocol rules.</w:t>
      </w:r>
    </w:p>
    <w:p w:rsidR="00FD67E1" w:rsidRDefault="00EE0B9A">
      <w:pPr>
        <w:pStyle w:val="CompactBullet"/>
      </w:pPr>
      <w:r>
        <w:t>Primary tagline territory: investment. The agency must submit at least three bilingual options, with rationale, linguistic checks and trademark/domain screening.</w:t>
      </w:r>
    </w:p>
    <w:p w:rsidR="00FD67E1" w:rsidRDefault="00EE0B9A">
      <w:pPr>
        <w:pStyle w:val="CompactBullet"/>
      </w:pPr>
      <w:r>
        <w:t>All names, titles, quotations, statistics, partnerships and commitments require written verification before publication.</w:t>
      </w:r>
    </w:p>
    <w:p w:rsidR="00FD67E1" w:rsidRDefault="00EE0B9A">
      <w:pPr>
        <w:pStyle w:val="Heading1"/>
      </w:pPr>
      <w:r>
        <w:t>8. Scope of Work</w:t>
      </w:r>
    </w:p>
    <w:p w:rsidR="00FD67E1" w:rsidRDefault="00EE0B9A">
      <w:r>
        <w:t>Package 1 is the core requirement. Package 2 is an optional, separately priced social-media management add-on that Tharaa may award to the Package 1 supplier, award to another supplier, phase, negotiate or not award. A bidder may propose Package 2 without making any part of Package 1 dependent on its appointment for social-media management. Each submitted package must be self-contained and independently evaluable.</w:t>
      </w:r>
    </w:p>
    <w:p w:rsidR="00FD67E1" w:rsidRDefault="00EE0B9A">
      <w:pPr>
        <w:pStyle w:val="Heading2"/>
      </w:pPr>
      <w:r>
        <w:t>Package 1 — Corporate Identity, Brand Strategy, Media &amp; PR</w:t>
      </w:r>
    </w:p>
    <w:p w:rsidR="00FD67E1" w:rsidRDefault="00EE0B9A">
      <w:pPr>
        <w:pStyle w:val="CompactBullet"/>
      </w:pPr>
      <w:r>
        <w:t>Discovery and stakeholder alignment: interviews with Ajman Chamber, Tharaa leadership and operating-company leads; audience research; market and competitor review; communications audit; risk workshop.</w:t>
      </w:r>
    </w:p>
    <w:p w:rsidR="00FD67E1" w:rsidRDefault="00EE0B9A">
      <w:pPr>
        <w:pStyle w:val="CompactBullet"/>
      </w:pPr>
      <w:r>
        <w:t>Brand strategy: purpose, positioning, promise, values, personality, audience propositions, messaging hierarchy, proof points and differentiation for the master brand and all five operating companies.</w:t>
      </w:r>
    </w:p>
    <w:p w:rsidR="00FD67E1" w:rsidRDefault="00EE0B9A">
      <w:pPr>
        <w:pStyle w:val="CompactBullet"/>
      </w:pPr>
      <w:r>
        <w:t>Brand architecture: naming logic, endorsement system, legal-name rules, Arabic/English lockups and governance of future entities, programmes, funds, cohorts and initiatives.</w:t>
      </w:r>
    </w:p>
    <w:p w:rsidR="00FD67E1" w:rsidRDefault="00EE0B9A">
      <w:pPr>
        <w:pStyle w:val="CompactBullet"/>
      </w:pPr>
      <w:r>
        <w:t>Visual identity: master brand and coherent identities for Tharaa Holding, Hub, X, Capital, Xperience and Foundation; logo systems, colours, typography, imagery, illustration, iconography, motion and accessibility rules.</w:t>
      </w:r>
    </w:p>
    <w:p w:rsidR="00FD67E1" w:rsidRDefault="00EE0B9A">
      <w:pPr>
        <w:pStyle w:val="CompactBullet"/>
      </w:pPr>
      <w:r>
        <w:t>Bilingual brand guidelines and editable master assets, including usage rights, font licences and complete source-file handover.</w:t>
      </w:r>
    </w:p>
    <w:p w:rsidR="00FD67E1" w:rsidRDefault="00EE0B9A">
      <w:pPr>
        <w:pStyle w:val="CompactBullet"/>
      </w:pPr>
      <w:r>
        <w:t>Three or more bilingual tagline routes, tested for meaning, pronunciation, cultural suitability, availability and application.</w:t>
      </w:r>
    </w:p>
    <w:p w:rsidR="00FD67E1" w:rsidRDefault="00EE0B9A">
      <w:pPr>
        <w:pStyle w:val="CompactBullet"/>
      </w:pPr>
      <w:r>
        <w:t>Corporate profiles: one group profile and five entity profiles in Arabic and English, supplied in editable and publication-ready formats.</w:t>
      </w:r>
    </w:p>
    <w:p w:rsidR="00FD67E1" w:rsidRDefault="00EE0B9A">
      <w:pPr>
        <w:pStyle w:val="CompactBullet"/>
      </w:pPr>
      <w:r>
        <w:t>Digital ecosystem: strategy, UX, UI, development, hosting specification, analytics and launch of a standalone Tharaa Holding corporate gateway site plus five dedicated operating-company websites under one consistent brand system.</w:t>
      </w:r>
    </w:p>
    <w:p w:rsidR="00FD67E1" w:rsidRDefault="00EE0B9A">
      <w:pPr>
        <w:pStyle w:val="CompactBullet"/>
      </w:pPr>
      <w:r>
        <w:t>Website functions to include bilingual content management, entity navigation, programme applications, space/service enquiries, partner/investor contact journeys, events, news, careers, privacy/consent, analytics and CRM/API readiness.</w:t>
      </w:r>
    </w:p>
    <w:p w:rsidR="00FD67E1" w:rsidRDefault="00EE0B9A">
      <w:pPr>
        <w:pStyle w:val="CompactBullet"/>
      </w:pPr>
      <w:r>
        <w:lastRenderedPageBreak/>
        <w:t>Launch platform: communications strategy, creative concept, launch film, key visuals, press kit, speeches, talking points, FAQs, media briefing materials, invitation and event applications for the planned November 2026 launch, subject to final confirmation.</w:t>
      </w:r>
    </w:p>
    <w:p w:rsidR="00FD67E1" w:rsidRDefault="00EE0B9A">
      <w:pPr>
        <w:pStyle w:val="CompactBullet"/>
      </w:pPr>
      <w:r>
        <w:t>Twelve-month communications and campaign roadmap aligned to operational milestones, cohorts, investment activity, partnerships, community outcomes and major UAE/GCC moments.</w:t>
      </w:r>
    </w:p>
    <w:p w:rsidR="00FD67E1" w:rsidRDefault="00EE0B9A">
      <w:pPr>
        <w:pStyle w:val="CompactBullet"/>
      </w:pPr>
      <w:r>
        <w:t>PR strategy, media mapping, announcement calendar, press-office operations, spokesperson preparation and proactive Arabic/English media relations across UAE, GCC, business, investment, government, entrepreneurship and technology media.</w:t>
      </w:r>
    </w:p>
    <w:p w:rsidR="00FD67E1" w:rsidRDefault="00EE0B9A">
      <w:pPr>
        <w:pStyle w:val="CompactBullet"/>
      </w:pPr>
      <w:r>
        <w:t>Issues and crisis communications framework: risk register, escalation matrix, holding statements, monitoring, simulation and response playbook.</w:t>
      </w:r>
    </w:p>
    <w:p w:rsidR="00FD67E1" w:rsidRDefault="00EE0B9A">
      <w:pPr>
        <w:pStyle w:val="CompactBullet"/>
      </w:pPr>
      <w:r>
        <w:t>Brand applications: stationery, corporate templates, presentations, reports, signage and wayfinding, environmental graphics, event system, digital templates, merchandise principles and employer-brand materials.</w:t>
      </w:r>
    </w:p>
    <w:p w:rsidR="00FD67E1" w:rsidRDefault="00EE0B9A">
      <w:pPr>
        <w:pStyle w:val="CompactBullet"/>
      </w:pPr>
      <w:r>
        <w:t>Measurement framework and monthly reporting connecting outputs to reputation, qualified participation, applications, enquiries, partnerships and commercial outcomes.</w:t>
      </w:r>
    </w:p>
    <w:p w:rsidR="00FD67E1" w:rsidRDefault="00EE0B9A">
      <w:pPr>
        <w:pStyle w:val="Heading2"/>
      </w:pPr>
      <w:r>
        <w:t>Package 1 — Minimum priced deliverables</w:t>
      </w:r>
    </w:p>
    <w:tbl>
      <w:tblPr>
        <w:tblStyle w:val="TableGrid"/>
        <w:tblW w:w="0" w:type="auto"/>
        <w:jc w:val="center"/>
        <w:tblLook w:val="04A0" w:firstRow="1" w:lastRow="0" w:firstColumn="1" w:lastColumn="0" w:noHBand="0" w:noVBand="1"/>
      </w:tblPr>
      <w:tblGrid>
        <w:gridCol w:w="2304"/>
        <w:gridCol w:w="7344"/>
      </w:tblGrid>
      <w:tr w:rsidR="00FD67E1">
        <w:trPr>
          <w:cantSplit/>
          <w:tblHeader/>
          <w:jc w:val="center"/>
        </w:trPr>
        <w:tc>
          <w:tcPr>
            <w:tcW w:w="2304" w:type="dxa"/>
            <w:shd w:val="clear" w:color="auto" w:fill="13283F"/>
            <w:tcMar>
              <w:top w:w="80" w:type="dxa"/>
              <w:left w:w="100" w:type="dxa"/>
              <w:bottom w:w="80" w:type="dxa"/>
              <w:right w:w="100" w:type="dxa"/>
            </w:tcMar>
          </w:tcPr>
          <w:p w:rsidR="00FD67E1" w:rsidRDefault="00EE0B9A">
            <w:r>
              <w:rPr>
                <w:b/>
                <w:color w:val="FFFFFF"/>
                <w:sz w:val="16"/>
              </w:rPr>
              <w:t>Workstream</w:t>
            </w:r>
          </w:p>
        </w:tc>
        <w:tc>
          <w:tcPr>
            <w:tcW w:w="7344" w:type="dxa"/>
            <w:shd w:val="clear" w:color="auto" w:fill="13283F"/>
            <w:tcMar>
              <w:top w:w="80" w:type="dxa"/>
              <w:left w:w="100" w:type="dxa"/>
              <w:bottom w:w="80" w:type="dxa"/>
              <w:right w:w="100" w:type="dxa"/>
            </w:tcMar>
          </w:tcPr>
          <w:p w:rsidR="00FD67E1" w:rsidRDefault="00EE0B9A">
            <w:r>
              <w:rPr>
                <w:b/>
                <w:color w:val="FFFFFF"/>
                <w:sz w:val="16"/>
              </w:rPr>
              <w:t>Minimum output</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Strategy</w:t>
            </w:r>
          </w:p>
        </w:tc>
        <w:tc>
          <w:tcPr>
            <w:tcW w:w="7344" w:type="dxa"/>
            <w:tcMar>
              <w:top w:w="80" w:type="dxa"/>
              <w:left w:w="100" w:type="dxa"/>
              <w:bottom w:w="80" w:type="dxa"/>
              <w:right w:w="100" w:type="dxa"/>
            </w:tcMar>
            <w:vAlign w:val="center"/>
          </w:tcPr>
          <w:p w:rsidR="00FD67E1" w:rsidRDefault="00EE0B9A">
            <w:pPr>
              <w:spacing w:after="0"/>
            </w:pPr>
            <w:r>
              <w:rPr>
                <w:sz w:val="16"/>
              </w:rPr>
              <w:t>1 group brand strategy; 6 audience/value propositions; 1 messaging and proof-point system; 1 brand architecture and naming manual.</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Identity</w:t>
            </w:r>
          </w:p>
        </w:tc>
        <w:tc>
          <w:tcPr>
            <w:tcW w:w="7344" w:type="dxa"/>
            <w:shd w:val="clear" w:color="auto" w:fill="F4F7F8"/>
            <w:tcMar>
              <w:top w:w="80" w:type="dxa"/>
              <w:left w:w="100" w:type="dxa"/>
              <w:bottom w:w="80" w:type="dxa"/>
              <w:right w:w="100" w:type="dxa"/>
            </w:tcMar>
            <w:vAlign w:val="center"/>
          </w:tcPr>
          <w:p w:rsidR="00FD67E1" w:rsidRDefault="00EE0B9A">
            <w:pPr>
              <w:spacing w:after="0"/>
            </w:pPr>
            <w:r>
              <w:rPr>
                <w:sz w:val="16"/>
              </w:rPr>
              <w:t>1 master system plus 5 entity expressions; bilingual lockups; full guidelines; editable source library and templates.</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Profiles</w:t>
            </w:r>
          </w:p>
        </w:tc>
        <w:tc>
          <w:tcPr>
            <w:tcW w:w="7344" w:type="dxa"/>
            <w:tcMar>
              <w:top w:w="80" w:type="dxa"/>
              <w:left w:w="100" w:type="dxa"/>
              <w:bottom w:w="80" w:type="dxa"/>
              <w:right w:w="100" w:type="dxa"/>
            </w:tcMar>
            <w:vAlign w:val="center"/>
          </w:tcPr>
          <w:p w:rsidR="00FD67E1" w:rsidRDefault="00EE0B9A">
            <w:pPr>
              <w:spacing w:after="0"/>
            </w:pPr>
            <w:r>
              <w:rPr>
                <w:sz w:val="16"/>
              </w:rPr>
              <w:t>1 group and 5 entity profiles, each Arabic and English.</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Web</w:t>
            </w:r>
          </w:p>
        </w:tc>
        <w:tc>
          <w:tcPr>
            <w:tcW w:w="7344" w:type="dxa"/>
            <w:shd w:val="clear" w:color="auto" w:fill="F4F7F8"/>
            <w:tcMar>
              <w:top w:w="80" w:type="dxa"/>
              <w:left w:w="100" w:type="dxa"/>
              <w:bottom w:w="80" w:type="dxa"/>
              <w:right w:w="100" w:type="dxa"/>
            </w:tcMar>
            <w:vAlign w:val="center"/>
          </w:tcPr>
          <w:p w:rsidR="00FD67E1" w:rsidRDefault="00EE0B9A">
            <w:pPr>
              <w:spacing w:after="0"/>
            </w:pPr>
            <w:r>
              <w:rPr>
                <w:sz w:val="16"/>
              </w:rPr>
              <w:t>1 group gateway plus 5 entity destinations; bilingual CMS; UX/UI, build, QA, training, documentation and 12-month warranty/support option.</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Launch</w:t>
            </w:r>
          </w:p>
        </w:tc>
        <w:tc>
          <w:tcPr>
            <w:tcW w:w="7344" w:type="dxa"/>
            <w:tcMar>
              <w:top w:w="80" w:type="dxa"/>
              <w:left w:w="100" w:type="dxa"/>
              <w:bottom w:w="80" w:type="dxa"/>
              <w:right w:w="100" w:type="dxa"/>
            </w:tcMar>
            <w:vAlign w:val="center"/>
          </w:tcPr>
          <w:p w:rsidR="00FD67E1" w:rsidRDefault="00EE0B9A">
            <w:pPr>
              <w:spacing w:after="0"/>
            </w:pPr>
            <w:r>
              <w:rPr>
                <w:sz w:val="16"/>
              </w:rPr>
              <w:t>1 launch platform, 1 hero film with cut-downs, press kit, event identity/application suite, speeches, FAQs and spokesperson briefing.</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PR</w:t>
            </w:r>
          </w:p>
        </w:tc>
        <w:tc>
          <w:tcPr>
            <w:tcW w:w="7344" w:type="dxa"/>
            <w:shd w:val="clear" w:color="auto" w:fill="F4F7F8"/>
            <w:tcMar>
              <w:top w:w="80" w:type="dxa"/>
              <w:left w:w="100" w:type="dxa"/>
              <w:bottom w:w="80" w:type="dxa"/>
              <w:right w:w="100" w:type="dxa"/>
            </w:tcMar>
            <w:vAlign w:val="center"/>
          </w:tcPr>
          <w:p w:rsidR="00FD67E1" w:rsidRDefault="00EE0B9A">
            <w:pPr>
              <w:spacing w:after="0"/>
            </w:pPr>
            <w:r>
              <w:rPr>
                <w:sz w:val="16"/>
              </w:rPr>
              <w:t>12-month plan; media office; minimum monthly retainer assumptions stated; crisis playbook and one simulation.</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Campaigns</w:t>
            </w:r>
          </w:p>
        </w:tc>
        <w:tc>
          <w:tcPr>
            <w:tcW w:w="7344" w:type="dxa"/>
            <w:tcMar>
              <w:top w:w="80" w:type="dxa"/>
              <w:left w:w="100" w:type="dxa"/>
              <w:bottom w:w="80" w:type="dxa"/>
              <w:right w:w="100" w:type="dxa"/>
            </w:tcMar>
            <w:vAlign w:val="center"/>
          </w:tcPr>
          <w:p w:rsidR="00FD67E1" w:rsidRDefault="00EE0B9A">
            <w:pPr>
              <w:spacing w:after="0"/>
            </w:pPr>
            <w:r>
              <w:rPr>
                <w:sz w:val="16"/>
              </w:rPr>
              <w:t>Launch campaign plus three thematic campaign platforms; itemised production assumptions and usage rights.</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Reporting</w:t>
            </w:r>
          </w:p>
        </w:tc>
        <w:tc>
          <w:tcPr>
            <w:tcW w:w="7344" w:type="dxa"/>
            <w:shd w:val="clear" w:color="auto" w:fill="F4F7F8"/>
            <w:tcMar>
              <w:top w:w="80" w:type="dxa"/>
              <w:left w:w="100" w:type="dxa"/>
              <w:bottom w:w="80" w:type="dxa"/>
              <w:right w:w="100" w:type="dxa"/>
            </w:tcMar>
            <w:vAlign w:val="center"/>
          </w:tcPr>
          <w:p w:rsidR="00FD67E1" w:rsidRDefault="00EE0B9A">
            <w:pPr>
              <w:spacing w:after="0"/>
            </w:pPr>
            <w:r>
              <w:rPr>
                <w:sz w:val="16"/>
              </w:rPr>
              <w:t>Baseline, KPI dashboard, monthly report and quarterly strategic review.</w:t>
            </w:r>
          </w:p>
        </w:tc>
      </w:tr>
    </w:tbl>
    <w:p w:rsidR="00FD67E1" w:rsidRDefault="00FD67E1">
      <w:pPr>
        <w:spacing w:after="0"/>
      </w:pPr>
    </w:p>
    <w:p w:rsidR="00FD67E1" w:rsidRDefault="00EE0B9A">
      <w:pPr>
        <w:pStyle w:val="Heading2"/>
      </w:pPr>
      <w:r>
        <w:t>Package 2 — Optional Social Media Management and Digital Content</w:t>
      </w:r>
    </w:p>
    <w:p w:rsidR="00FD67E1" w:rsidRDefault="00EE0B9A">
      <w:r>
        <w:t>This package is optional and outside the mandatory core appointment. Submission is encouraged but is not a condition of responsiveness for Package 1 and will not increase or reduce the Package 1 technical score. Any appointment will be made through a separate award decision, scope confirmation, commercial schedule and mobilisation approval. Tharaa retains the right to manage social media internally or appoint another specialist supplier.</w:t>
      </w:r>
    </w:p>
    <w:p w:rsidR="00FD67E1" w:rsidRDefault="00EE0B9A">
      <w:pPr>
        <w:pStyle w:val="CompactBullet"/>
      </w:pPr>
      <w:r>
        <w:t>Separate, dedicated social-media accounts for all six entities, with a clear governance model that defines master-brand, entity and cross-posted content.</w:t>
      </w:r>
    </w:p>
    <w:p w:rsidR="00FD67E1" w:rsidRDefault="00EE0B9A">
      <w:pPr>
        <w:pStyle w:val="CompactBullet"/>
      </w:pPr>
      <w:r>
        <w:t>Strategy and management for LinkedIn, Instagram, X, YouTube and TikTok; platform activation must be audience-led and may be phased with approval.</w:t>
      </w:r>
    </w:p>
    <w:p w:rsidR="00FD67E1" w:rsidRDefault="00EE0B9A">
      <w:pPr>
        <w:pStyle w:val="CompactBullet"/>
      </w:pPr>
      <w:r>
        <w:t>Content pillars: Entrepreneurship, Investment, AI &amp; Technology, Impact, Ajman Economy and Business Growth.</w:t>
      </w:r>
    </w:p>
    <w:p w:rsidR="00FD67E1" w:rsidRDefault="00EE0B9A">
      <w:pPr>
        <w:pStyle w:val="CompactBullet"/>
      </w:pPr>
      <w:r>
        <w:t>Bilingual rolling monthly calendars submitted at least ten working days before the month begins, supported by quarterly editorial planning.</w:t>
      </w:r>
    </w:p>
    <w:p w:rsidR="00FD67E1" w:rsidRDefault="00EE0B9A">
      <w:pPr>
        <w:pStyle w:val="CompactBullet"/>
      </w:pPr>
      <w:r>
        <w:t>End-to-end production: executive and founder photography, video, reels, interviews, case studies, explainers, motion graphics, infographics and static assets.</w:t>
      </w:r>
    </w:p>
    <w:p w:rsidR="00FD67E1" w:rsidRDefault="00EE0B9A">
      <w:pPr>
        <w:pStyle w:val="CompactBullet"/>
      </w:pPr>
      <w:r>
        <w:t>Formal Arabic and professional English copywriting, human translation/adaptation, proofreading, subtitles, captions and accessibility treatment.</w:t>
      </w:r>
    </w:p>
    <w:p w:rsidR="00FD67E1" w:rsidRDefault="00EE0B9A">
      <w:pPr>
        <w:pStyle w:val="CompactBullet"/>
      </w:pPr>
      <w:r>
        <w:t>Community management and escalation, including response matrix, frequently asked questions, sentiment and issue monitoring and approved service levels.</w:t>
      </w:r>
    </w:p>
    <w:p w:rsidR="00FD67E1" w:rsidRDefault="00EE0B9A">
      <w:pPr>
        <w:pStyle w:val="CompactBullet"/>
      </w:pPr>
      <w:r>
        <w:lastRenderedPageBreak/>
        <w:t>Paid-media strategy and execution with media spend shown separately from agency fees; audience, conversion, retargeting and lead-quality approach required.</w:t>
      </w:r>
    </w:p>
    <w:p w:rsidR="00FD67E1" w:rsidRDefault="00EE0B9A">
      <w:pPr>
        <w:pStyle w:val="CompactBullet"/>
      </w:pPr>
      <w:r>
        <w:t>Influencer/KOL due diligence and management only where strategically justified and pre-approved.</w:t>
      </w:r>
    </w:p>
    <w:p w:rsidR="00FD67E1" w:rsidRDefault="00EE0B9A">
      <w:pPr>
        <w:pStyle w:val="CompactBullet"/>
      </w:pPr>
      <w:r>
        <w:t>Live event and activation coverage, including rapid approval workflow and same-day content.</w:t>
      </w:r>
    </w:p>
    <w:p w:rsidR="00FD67E1" w:rsidRDefault="00EE0B9A">
      <w:pPr>
        <w:pStyle w:val="CompactBullet"/>
      </w:pPr>
      <w:r>
        <w:t>Monthly analytics and quarterly optimisation reviews tied to awareness, engagement quality, applications, qualified enquiries, registrations and conversion—not vanity metrics alone.</w:t>
      </w:r>
    </w:p>
    <w:p w:rsidR="00FD67E1" w:rsidRDefault="00EE0B9A">
      <w:pPr>
        <w:pStyle w:val="CompactBullet"/>
      </w:pPr>
      <w:r>
        <w:t>Full ownership and organised monthly handover of raw footage, editable source files, account credentials, audiences, pixels and campaign data.</w:t>
      </w:r>
    </w:p>
    <w:p w:rsidR="00FD67E1" w:rsidRDefault="00EE0B9A">
      <w:pPr>
        <w:pStyle w:val="Heading2"/>
      </w:pPr>
      <w:r>
        <w:t>Package 2 — Pricing scenarios</w:t>
      </w:r>
    </w:p>
    <w:p w:rsidR="00FD67E1" w:rsidRDefault="00EE0B9A">
      <w:r>
        <w:t>The bidder must price both scenarios on identical service and quality assumptions:</w:t>
      </w:r>
    </w:p>
    <w:tbl>
      <w:tblPr>
        <w:tblStyle w:val="TableGrid"/>
        <w:tblW w:w="0" w:type="auto"/>
        <w:jc w:val="center"/>
        <w:tblLook w:val="04A0" w:firstRow="1" w:lastRow="0" w:firstColumn="1" w:lastColumn="0" w:noHBand="0" w:noVBand="1"/>
      </w:tblPr>
      <w:tblGrid>
        <w:gridCol w:w="2304"/>
        <w:gridCol w:w="7344"/>
      </w:tblGrid>
      <w:tr w:rsidR="00FD67E1">
        <w:trPr>
          <w:cantSplit/>
          <w:tblHeader/>
          <w:jc w:val="center"/>
        </w:trPr>
        <w:tc>
          <w:tcPr>
            <w:tcW w:w="2304" w:type="dxa"/>
            <w:shd w:val="clear" w:color="auto" w:fill="13283F"/>
            <w:tcMar>
              <w:top w:w="80" w:type="dxa"/>
              <w:left w:w="100" w:type="dxa"/>
              <w:bottom w:w="80" w:type="dxa"/>
              <w:right w:w="100" w:type="dxa"/>
            </w:tcMar>
          </w:tcPr>
          <w:p w:rsidR="00FD67E1" w:rsidRDefault="00EE0B9A">
            <w:r>
              <w:rPr>
                <w:b/>
                <w:color w:val="FFFFFF"/>
                <w:sz w:val="16"/>
              </w:rPr>
              <w:t>Scenario</w:t>
            </w:r>
          </w:p>
        </w:tc>
        <w:tc>
          <w:tcPr>
            <w:tcW w:w="7344" w:type="dxa"/>
            <w:shd w:val="clear" w:color="auto" w:fill="13283F"/>
            <w:tcMar>
              <w:top w:w="80" w:type="dxa"/>
              <w:left w:w="100" w:type="dxa"/>
              <w:bottom w:w="80" w:type="dxa"/>
              <w:right w:w="100" w:type="dxa"/>
            </w:tcMar>
          </w:tcPr>
          <w:p w:rsidR="00FD67E1" w:rsidRDefault="00EE0B9A">
            <w:r>
              <w:rPr>
                <w:b/>
                <w:color w:val="FFFFFF"/>
                <w:sz w:val="16"/>
              </w:rPr>
              <w:t>Pricing requirement</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A — Outcome-based / flexible volume</w:t>
            </w:r>
          </w:p>
        </w:tc>
        <w:tc>
          <w:tcPr>
            <w:tcW w:w="7344" w:type="dxa"/>
            <w:tcMar>
              <w:top w:w="80" w:type="dxa"/>
              <w:left w:w="100" w:type="dxa"/>
              <w:bottom w:w="80" w:type="dxa"/>
              <w:right w:w="100" w:type="dxa"/>
            </w:tcMar>
            <w:vAlign w:val="center"/>
          </w:tcPr>
          <w:p w:rsidR="00FD67E1" w:rsidRDefault="00EE0B9A">
            <w:pPr>
              <w:spacing w:after="0"/>
            </w:pPr>
            <w:r>
              <w:rPr>
                <w:sz w:val="16"/>
              </w:rPr>
              <w:t>A monthly retainer supporting all six entities with no fixed post ceiling, governed by an agreed editorial plan, production capacity, approval windows and fair-use assumptions.</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B — Defined volume</w:t>
            </w:r>
          </w:p>
        </w:tc>
        <w:tc>
          <w:tcPr>
            <w:tcW w:w="7344" w:type="dxa"/>
            <w:shd w:val="clear" w:color="auto" w:fill="F4F7F8"/>
            <w:tcMar>
              <w:top w:w="80" w:type="dxa"/>
              <w:left w:w="100" w:type="dxa"/>
              <w:bottom w:w="80" w:type="dxa"/>
              <w:right w:w="100" w:type="dxa"/>
            </w:tcMar>
            <w:vAlign w:val="center"/>
          </w:tcPr>
          <w:p w:rsidR="00FD67E1" w:rsidRDefault="00EE0B9A">
            <w:pPr>
              <w:spacing w:after="0"/>
            </w:pPr>
            <w:r>
              <w:rPr>
                <w:sz w:val="16"/>
              </w:rPr>
              <w:t>A monthly retainer with a clear minimum by entity and format. State posts, reels/videos, stories, executive content, production days, event coverage hours, community-management hours and revision limits.</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Both scenarios</w:t>
            </w:r>
          </w:p>
        </w:tc>
        <w:tc>
          <w:tcPr>
            <w:tcW w:w="7344" w:type="dxa"/>
            <w:tcMar>
              <w:top w:w="80" w:type="dxa"/>
              <w:left w:w="100" w:type="dxa"/>
              <w:bottom w:w="80" w:type="dxa"/>
              <w:right w:w="100" w:type="dxa"/>
            </w:tcMar>
            <w:vAlign w:val="center"/>
          </w:tcPr>
          <w:p w:rsidR="00FD67E1" w:rsidRDefault="00EE0B9A">
            <w:pPr>
              <w:spacing w:after="0"/>
            </w:pPr>
            <w:r>
              <w:rPr>
                <w:sz w:val="16"/>
              </w:rPr>
              <w:t>Separate agency fees, production, talent, travel, licences, paid-media management and media spend. Include optional unit rates and surge/event pricing.</w:t>
            </w:r>
          </w:p>
        </w:tc>
      </w:tr>
    </w:tbl>
    <w:p w:rsidR="00FD67E1" w:rsidRDefault="00FD67E1">
      <w:pPr>
        <w:spacing w:after="0"/>
      </w:pPr>
    </w:p>
    <w:p w:rsidR="00FD67E1" w:rsidRDefault="00EE0B9A">
      <w:pPr>
        <w:pStyle w:val="Heading2"/>
      </w:pPr>
      <w:r>
        <w:t>Bidder Value Creation Proposal</w:t>
      </w:r>
    </w:p>
    <w:p w:rsidR="00FD67E1" w:rsidRDefault="00EE0B9A">
      <w:r>
        <w:t>Every bidder must explain how its appointment will create additional practical value for Tharaa beyond simply completing the listed outputs. The response must be specific, credible and directly connected to Tharaa’s audiences, six-entity operating model, bilingual requirements, launch priorities and measurable business outcomes. Generic promises, speculative partnerships and unverified technology claims will not receive credit.</w:t>
      </w:r>
    </w:p>
    <w:tbl>
      <w:tblPr>
        <w:tblStyle w:val="TableGrid"/>
        <w:tblW w:w="0" w:type="auto"/>
        <w:jc w:val="center"/>
        <w:tblLook w:val="04A0" w:firstRow="1" w:lastRow="0" w:firstColumn="1" w:lastColumn="0" w:noHBand="0" w:noVBand="1"/>
      </w:tblPr>
      <w:tblGrid>
        <w:gridCol w:w="2448"/>
        <w:gridCol w:w="7200"/>
      </w:tblGrid>
      <w:tr w:rsidR="00FD67E1">
        <w:trPr>
          <w:cantSplit/>
          <w:tblHeader/>
          <w:jc w:val="center"/>
        </w:trPr>
        <w:tc>
          <w:tcPr>
            <w:tcW w:w="2448" w:type="dxa"/>
            <w:shd w:val="clear" w:color="auto" w:fill="13283F"/>
            <w:tcMar>
              <w:top w:w="80" w:type="dxa"/>
              <w:left w:w="100" w:type="dxa"/>
              <w:bottom w:w="80" w:type="dxa"/>
              <w:right w:w="100" w:type="dxa"/>
            </w:tcMar>
          </w:tcPr>
          <w:p w:rsidR="00FD67E1" w:rsidRDefault="00EE0B9A">
            <w:r>
              <w:rPr>
                <w:b/>
                <w:color w:val="FFFFFF"/>
                <w:sz w:val="16"/>
              </w:rPr>
              <w:t>Required component</w:t>
            </w:r>
          </w:p>
        </w:tc>
        <w:tc>
          <w:tcPr>
            <w:tcW w:w="7200" w:type="dxa"/>
            <w:shd w:val="clear" w:color="auto" w:fill="13283F"/>
            <w:tcMar>
              <w:top w:w="80" w:type="dxa"/>
              <w:left w:w="100" w:type="dxa"/>
              <w:bottom w:w="80" w:type="dxa"/>
              <w:right w:w="100" w:type="dxa"/>
            </w:tcMar>
          </w:tcPr>
          <w:p w:rsidR="00FD67E1" w:rsidRDefault="00EE0B9A">
            <w:r>
              <w:rPr>
                <w:b/>
                <w:color w:val="FFFFFF"/>
                <w:sz w:val="16"/>
              </w:rPr>
              <w:t>Bidder response</w:t>
            </w:r>
          </w:p>
        </w:tc>
      </w:tr>
      <w:tr w:rsidR="00FD67E1">
        <w:trPr>
          <w:cantSplit/>
          <w:jc w:val="center"/>
        </w:trPr>
        <w:tc>
          <w:tcPr>
            <w:tcW w:w="2448" w:type="dxa"/>
            <w:tcMar>
              <w:top w:w="80" w:type="dxa"/>
              <w:left w:w="100" w:type="dxa"/>
              <w:bottom w:w="80" w:type="dxa"/>
              <w:right w:w="100" w:type="dxa"/>
            </w:tcMar>
            <w:vAlign w:val="center"/>
          </w:tcPr>
          <w:p w:rsidR="00FD67E1" w:rsidRDefault="00EE0B9A">
            <w:pPr>
              <w:spacing w:after="0"/>
            </w:pPr>
            <w:r>
              <w:rPr>
                <w:sz w:val="16"/>
              </w:rPr>
              <w:t>Value thesis</w:t>
            </w:r>
          </w:p>
        </w:tc>
        <w:tc>
          <w:tcPr>
            <w:tcW w:w="7200" w:type="dxa"/>
            <w:tcMar>
              <w:top w:w="80" w:type="dxa"/>
              <w:left w:w="100" w:type="dxa"/>
              <w:bottom w:w="80" w:type="dxa"/>
              <w:right w:w="100" w:type="dxa"/>
            </w:tcMar>
            <w:vAlign w:val="center"/>
          </w:tcPr>
          <w:p w:rsidR="00FD67E1" w:rsidRDefault="00EE0B9A">
            <w:pPr>
              <w:spacing w:after="0"/>
            </w:pPr>
            <w:r>
              <w:rPr>
                <w:sz w:val="16"/>
              </w:rPr>
              <w:t>State the three to five most important ways the proposed approach will improve quality, speed, reach, conversion, capability, efficiency or risk control for Tharaa.</w:t>
            </w:r>
          </w:p>
        </w:tc>
      </w:tr>
      <w:tr w:rsidR="00FD67E1">
        <w:trPr>
          <w:cantSplit/>
          <w:jc w:val="center"/>
        </w:trPr>
        <w:tc>
          <w:tcPr>
            <w:tcW w:w="2448" w:type="dxa"/>
            <w:shd w:val="clear" w:color="auto" w:fill="F4F7F8"/>
            <w:tcMar>
              <w:top w:w="80" w:type="dxa"/>
              <w:left w:w="100" w:type="dxa"/>
              <w:bottom w:w="80" w:type="dxa"/>
              <w:right w:w="100" w:type="dxa"/>
            </w:tcMar>
            <w:vAlign w:val="center"/>
          </w:tcPr>
          <w:p w:rsidR="00FD67E1" w:rsidRDefault="00EE0B9A">
            <w:pPr>
              <w:spacing w:after="0"/>
            </w:pPr>
            <w:r>
              <w:rPr>
                <w:sz w:val="16"/>
              </w:rPr>
              <w:t>First 100 days</w:t>
            </w:r>
          </w:p>
        </w:tc>
        <w:tc>
          <w:tcPr>
            <w:tcW w:w="7200" w:type="dxa"/>
            <w:shd w:val="clear" w:color="auto" w:fill="F4F7F8"/>
            <w:tcMar>
              <w:top w:w="80" w:type="dxa"/>
              <w:left w:w="100" w:type="dxa"/>
              <w:bottom w:w="80" w:type="dxa"/>
              <w:right w:w="100" w:type="dxa"/>
            </w:tcMar>
            <w:vAlign w:val="center"/>
          </w:tcPr>
          <w:p w:rsidR="00FD67E1" w:rsidRDefault="00EE0B9A">
            <w:pPr>
              <w:spacing w:after="0"/>
            </w:pPr>
            <w:r>
              <w:rPr>
                <w:sz w:val="16"/>
              </w:rPr>
              <w:t>Provide a sequenced action plan identifying quick wins, decisions required, accountable team members, evidence of completion and the expected operational benefit.</w:t>
            </w:r>
          </w:p>
        </w:tc>
      </w:tr>
      <w:tr w:rsidR="00FD67E1">
        <w:trPr>
          <w:cantSplit/>
          <w:jc w:val="center"/>
        </w:trPr>
        <w:tc>
          <w:tcPr>
            <w:tcW w:w="2448" w:type="dxa"/>
            <w:tcMar>
              <w:top w:w="80" w:type="dxa"/>
              <w:left w:w="100" w:type="dxa"/>
              <w:bottom w:w="80" w:type="dxa"/>
              <w:right w:w="100" w:type="dxa"/>
            </w:tcMar>
            <w:vAlign w:val="center"/>
          </w:tcPr>
          <w:p w:rsidR="00FD67E1" w:rsidRDefault="00EE0B9A">
            <w:pPr>
              <w:spacing w:after="0"/>
            </w:pPr>
            <w:r>
              <w:rPr>
                <w:sz w:val="16"/>
              </w:rPr>
              <w:t>Measurable benefit</w:t>
            </w:r>
          </w:p>
        </w:tc>
        <w:tc>
          <w:tcPr>
            <w:tcW w:w="7200" w:type="dxa"/>
            <w:tcMar>
              <w:top w:w="80" w:type="dxa"/>
              <w:left w:w="100" w:type="dxa"/>
              <w:bottom w:w="80" w:type="dxa"/>
              <w:right w:w="100" w:type="dxa"/>
            </w:tcMar>
            <w:vAlign w:val="center"/>
          </w:tcPr>
          <w:p w:rsidR="00FD67E1" w:rsidRDefault="00EE0B9A">
            <w:pPr>
              <w:spacing w:after="0"/>
            </w:pPr>
            <w:r>
              <w:rPr>
                <w:sz w:val="16"/>
              </w:rPr>
              <w:t>For each proposal, define the current or assumed baseline, target benefit, measurement method, reporting frequency, dependencies and the point at which the benefit will be reviewed.</w:t>
            </w:r>
          </w:p>
        </w:tc>
      </w:tr>
      <w:tr w:rsidR="00FD67E1">
        <w:trPr>
          <w:cantSplit/>
          <w:jc w:val="center"/>
        </w:trPr>
        <w:tc>
          <w:tcPr>
            <w:tcW w:w="2448" w:type="dxa"/>
            <w:shd w:val="clear" w:color="auto" w:fill="F4F7F8"/>
            <w:tcMar>
              <w:top w:w="80" w:type="dxa"/>
              <w:left w:w="100" w:type="dxa"/>
              <w:bottom w:w="80" w:type="dxa"/>
              <w:right w:w="100" w:type="dxa"/>
            </w:tcMar>
            <w:vAlign w:val="center"/>
          </w:tcPr>
          <w:p w:rsidR="00FD67E1" w:rsidRDefault="00EE0B9A">
            <w:pPr>
              <w:spacing w:after="0"/>
            </w:pPr>
            <w:r>
              <w:rPr>
                <w:sz w:val="16"/>
              </w:rPr>
              <w:t>Capability transfer</w:t>
            </w:r>
          </w:p>
        </w:tc>
        <w:tc>
          <w:tcPr>
            <w:tcW w:w="7200" w:type="dxa"/>
            <w:shd w:val="clear" w:color="auto" w:fill="F4F7F8"/>
            <w:tcMar>
              <w:top w:w="80" w:type="dxa"/>
              <w:left w:w="100" w:type="dxa"/>
              <w:bottom w:w="80" w:type="dxa"/>
              <w:right w:w="100" w:type="dxa"/>
            </w:tcMar>
            <w:vAlign w:val="center"/>
          </w:tcPr>
          <w:p w:rsidR="00FD67E1" w:rsidRDefault="00EE0B9A">
            <w:pPr>
              <w:spacing w:after="0"/>
            </w:pPr>
            <w:r>
              <w:rPr>
                <w:sz w:val="16"/>
              </w:rPr>
              <w:t>Explain how Tharaa’s internal team will become more capable through playbooks, templates, training, coaching, documented workflows and administrator-level control.</w:t>
            </w:r>
          </w:p>
        </w:tc>
      </w:tr>
      <w:tr w:rsidR="00FD67E1">
        <w:trPr>
          <w:cantSplit/>
          <w:jc w:val="center"/>
        </w:trPr>
        <w:tc>
          <w:tcPr>
            <w:tcW w:w="2448" w:type="dxa"/>
            <w:tcMar>
              <w:top w:w="80" w:type="dxa"/>
              <w:left w:w="100" w:type="dxa"/>
              <w:bottom w:w="80" w:type="dxa"/>
              <w:right w:w="100" w:type="dxa"/>
            </w:tcMar>
            <w:vAlign w:val="center"/>
          </w:tcPr>
          <w:p w:rsidR="00FD67E1" w:rsidRDefault="00EE0B9A">
            <w:pPr>
              <w:spacing w:after="0"/>
            </w:pPr>
            <w:r>
              <w:rPr>
                <w:sz w:val="16"/>
              </w:rPr>
              <w:t>Network access</w:t>
            </w:r>
          </w:p>
        </w:tc>
        <w:tc>
          <w:tcPr>
            <w:tcW w:w="7200" w:type="dxa"/>
            <w:tcMar>
              <w:top w:w="80" w:type="dxa"/>
              <w:left w:w="100" w:type="dxa"/>
              <w:bottom w:w="80" w:type="dxa"/>
              <w:right w:w="100" w:type="dxa"/>
            </w:tcMar>
            <w:vAlign w:val="center"/>
          </w:tcPr>
          <w:p w:rsidR="00FD67E1" w:rsidRDefault="00EE0B9A">
            <w:pPr>
              <w:spacing w:after="0"/>
            </w:pPr>
            <w:r>
              <w:rPr>
                <w:sz w:val="16"/>
              </w:rPr>
              <w:t>Identify relevant media, founder, investor, corporate, technology or ecosystem access the bidder can credibly activate. Distinguish existing relationships from proposed outreach and make no guarantee of third-party participation.</w:t>
            </w:r>
          </w:p>
        </w:tc>
      </w:tr>
      <w:tr w:rsidR="00FD67E1">
        <w:trPr>
          <w:cantSplit/>
          <w:jc w:val="center"/>
        </w:trPr>
        <w:tc>
          <w:tcPr>
            <w:tcW w:w="2448" w:type="dxa"/>
            <w:shd w:val="clear" w:color="auto" w:fill="F4F7F8"/>
            <w:tcMar>
              <w:top w:w="80" w:type="dxa"/>
              <w:left w:w="100" w:type="dxa"/>
              <w:bottom w:w="80" w:type="dxa"/>
              <w:right w:w="100" w:type="dxa"/>
            </w:tcMar>
            <w:vAlign w:val="center"/>
          </w:tcPr>
          <w:p w:rsidR="00FD67E1" w:rsidRDefault="00EE0B9A">
            <w:pPr>
              <w:spacing w:after="0"/>
            </w:pPr>
            <w:r>
              <w:rPr>
                <w:sz w:val="16"/>
              </w:rPr>
              <w:t>Innovation and efficiency</w:t>
            </w:r>
          </w:p>
        </w:tc>
        <w:tc>
          <w:tcPr>
            <w:tcW w:w="7200" w:type="dxa"/>
            <w:shd w:val="clear" w:color="auto" w:fill="F4F7F8"/>
            <w:tcMar>
              <w:top w:w="80" w:type="dxa"/>
              <w:left w:w="100" w:type="dxa"/>
              <w:bottom w:w="80" w:type="dxa"/>
              <w:right w:w="100" w:type="dxa"/>
            </w:tcMar>
            <w:vAlign w:val="center"/>
          </w:tcPr>
          <w:p w:rsidR="00FD67E1" w:rsidRDefault="00EE0B9A">
            <w:pPr>
              <w:spacing w:after="0"/>
            </w:pPr>
            <w:r>
              <w:rPr>
                <w:sz w:val="16"/>
              </w:rPr>
              <w:t>Describe useful tools, automation, AI-assisted workflows, reusable content systems or production efficiencies, including human review, security, rights, data and approval controls.</w:t>
            </w:r>
          </w:p>
        </w:tc>
      </w:tr>
      <w:tr w:rsidR="00FD67E1">
        <w:trPr>
          <w:cantSplit/>
          <w:jc w:val="center"/>
        </w:trPr>
        <w:tc>
          <w:tcPr>
            <w:tcW w:w="2448" w:type="dxa"/>
            <w:tcMar>
              <w:top w:w="80" w:type="dxa"/>
              <w:left w:w="100" w:type="dxa"/>
              <w:bottom w:w="80" w:type="dxa"/>
              <w:right w:w="100" w:type="dxa"/>
            </w:tcMar>
            <w:vAlign w:val="center"/>
          </w:tcPr>
          <w:p w:rsidR="00FD67E1" w:rsidRDefault="00EE0B9A">
            <w:pPr>
              <w:spacing w:after="0"/>
            </w:pPr>
            <w:r>
              <w:rPr>
                <w:sz w:val="16"/>
              </w:rPr>
              <w:t>Commercial treatment</w:t>
            </w:r>
          </w:p>
        </w:tc>
        <w:tc>
          <w:tcPr>
            <w:tcW w:w="7200" w:type="dxa"/>
            <w:tcMar>
              <w:top w:w="80" w:type="dxa"/>
              <w:left w:w="100" w:type="dxa"/>
              <w:bottom w:w="80" w:type="dxa"/>
              <w:right w:w="100" w:type="dxa"/>
            </w:tcMar>
            <w:vAlign w:val="center"/>
          </w:tcPr>
          <w:p w:rsidR="00FD67E1" w:rsidRDefault="00EE0B9A">
            <w:pPr>
              <w:spacing w:after="0"/>
            </w:pPr>
            <w:r>
              <w:rPr>
                <w:sz w:val="16"/>
              </w:rPr>
              <w:t>Use a unique reference for each value item. In the financial proposal, identify it as included within the base fee or separately optional, with all costs, assumptions, licences and continuing dependencies disclosed.</w:t>
            </w:r>
          </w:p>
        </w:tc>
      </w:tr>
      <w:tr w:rsidR="00FD67E1">
        <w:trPr>
          <w:cantSplit/>
          <w:jc w:val="center"/>
        </w:trPr>
        <w:tc>
          <w:tcPr>
            <w:tcW w:w="2448" w:type="dxa"/>
            <w:shd w:val="clear" w:color="auto" w:fill="F4F7F8"/>
            <w:tcMar>
              <w:top w:w="80" w:type="dxa"/>
              <w:left w:w="100" w:type="dxa"/>
              <w:bottom w:w="80" w:type="dxa"/>
              <w:right w:w="100" w:type="dxa"/>
            </w:tcMar>
            <w:vAlign w:val="center"/>
          </w:tcPr>
          <w:p w:rsidR="00FD67E1" w:rsidRDefault="00EE0B9A">
            <w:pPr>
              <w:spacing w:after="0"/>
            </w:pPr>
            <w:r>
              <w:rPr>
                <w:sz w:val="16"/>
              </w:rPr>
              <w:t>Proof</w:t>
            </w:r>
          </w:p>
        </w:tc>
        <w:tc>
          <w:tcPr>
            <w:tcW w:w="7200" w:type="dxa"/>
            <w:shd w:val="clear" w:color="auto" w:fill="F4F7F8"/>
            <w:tcMar>
              <w:top w:w="80" w:type="dxa"/>
              <w:left w:w="100" w:type="dxa"/>
              <w:bottom w:w="80" w:type="dxa"/>
              <w:right w:w="100" w:type="dxa"/>
            </w:tcMar>
            <w:vAlign w:val="center"/>
          </w:tcPr>
          <w:p w:rsidR="00FD67E1" w:rsidRDefault="00EE0B9A">
            <w:pPr>
              <w:spacing w:after="0"/>
            </w:pPr>
            <w:r>
              <w:rPr>
                <w:sz w:val="16"/>
              </w:rPr>
              <w:t>Support material claims with a relevant case example, reference, demonstration, benchmark or implementation evidence and clearly state the bidder’s actual role.</w:t>
            </w:r>
          </w:p>
        </w:tc>
      </w:tr>
    </w:tbl>
    <w:p w:rsidR="00FD67E1" w:rsidRDefault="00FD67E1">
      <w:pPr>
        <w:spacing w:after="0"/>
      </w:pPr>
    </w:p>
    <w:p w:rsidR="00FD67E1" w:rsidRDefault="00EE0B9A">
      <w:r>
        <w:t xml:space="preserve">Tharaa may accept, reject, test, negotiate or phase any proposed value item independently. A value-add proposal does not amend the mandatory scope unless incorporated into the executed contract. Once an included value item is accepted into the contract, it </w:t>
      </w:r>
      <w:r>
        <w:lastRenderedPageBreak/>
        <w:t>becomes a committed deliverable subject to the same quality, governance, ownership and acceptance requirements as the core scope.</w:t>
      </w:r>
    </w:p>
    <w:p w:rsidR="00FD67E1" w:rsidRDefault="00EE0B9A">
      <w:pPr>
        <w:pStyle w:val="Heading1"/>
      </w:pPr>
      <w:r>
        <w:t>9. Communications Objectives and KPIs</w:t>
      </w:r>
    </w:p>
    <w:p w:rsidR="00FD67E1" w:rsidRDefault="00EE0B9A">
      <w:pPr>
        <w:pStyle w:val="Heading2"/>
      </w:pPr>
      <w:r>
        <w:t>Approved PR direction</w:t>
      </w:r>
    </w:p>
    <w:tbl>
      <w:tblPr>
        <w:tblStyle w:val="TableGrid"/>
        <w:tblW w:w="0" w:type="auto"/>
        <w:jc w:val="center"/>
        <w:tblLook w:val="04A0" w:firstRow="1" w:lastRow="0" w:firstColumn="1" w:lastColumn="0" w:noHBand="0" w:noVBand="1"/>
      </w:tblPr>
      <w:tblGrid>
        <w:gridCol w:w="2376"/>
        <w:gridCol w:w="2448"/>
        <w:gridCol w:w="2448"/>
        <w:gridCol w:w="2376"/>
      </w:tblGrid>
      <w:tr w:rsidR="00FD67E1">
        <w:trPr>
          <w:cantSplit/>
          <w:tblHeader/>
          <w:jc w:val="center"/>
        </w:trPr>
        <w:tc>
          <w:tcPr>
            <w:tcW w:w="2376" w:type="dxa"/>
            <w:shd w:val="clear" w:color="auto" w:fill="13283F"/>
            <w:tcMar>
              <w:top w:w="80" w:type="dxa"/>
              <w:left w:w="100" w:type="dxa"/>
              <w:bottom w:w="80" w:type="dxa"/>
              <w:right w:w="100" w:type="dxa"/>
            </w:tcMar>
          </w:tcPr>
          <w:p w:rsidR="00FD67E1" w:rsidRDefault="00EE0B9A">
            <w:r>
              <w:rPr>
                <w:b/>
                <w:color w:val="FFFFFF"/>
                <w:sz w:val="16"/>
              </w:rPr>
              <w:t>Objective</w:t>
            </w:r>
          </w:p>
        </w:tc>
        <w:tc>
          <w:tcPr>
            <w:tcW w:w="2448" w:type="dxa"/>
            <w:shd w:val="clear" w:color="auto" w:fill="13283F"/>
            <w:tcMar>
              <w:top w:w="80" w:type="dxa"/>
              <w:left w:w="100" w:type="dxa"/>
              <w:bottom w:w="80" w:type="dxa"/>
              <w:right w:w="100" w:type="dxa"/>
            </w:tcMar>
          </w:tcPr>
          <w:p w:rsidR="00FD67E1" w:rsidRDefault="00EE0B9A">
            <w:r>
              <w:rPr>
                <w:b/>
                <w:color w:val="FFFFFF"/>
                <w:sz w:val="16"/>
              </w:rPr>
              <w:t>UAE Years 1 to 3</w:t>
            </w:r>
          </w:p>
        </w:tc>
        <w:tc>
          <w:tcPr>
            <w:tcW w:w="2448" w:type="dxa"/>
            <w:shd w:val="clear" w:color="auto" w:fill="13283F"/>
            <w:tcMar>
              <w:top w:w="80" w:type="dxa"/>
              <w:left w:w="100" w:type="dxa"/>
              <w:bottom w:w="80" w:type="dxa"/>
              <w:right w:w="100" w:type="dxa"/>
            </w:tcMar>
          </w:tcPr>
          <w:p w:rsidR="00FD67E1" w:rsidRDefault="00EE0B9A">
            <w:r>
              <w:rPr>
                <w:b/>
                <w:color w:val="FFFFFF"/>
                <w:sz w:val="16"/>
              </w:rPr>
              <w:t>GCC and MENA Years 4 to 5</w:t>
            </w:r>
          </w:p>
        </w:tc>
        <w:tc>
          <w:tcPr>
            <w:tcW w:w="2376" w:type="dxa"/>
            <w:shd w:val="clear" w:color="auto" w:fill="13283F"/>
            <w:tcMar>
              <w:top w:w="80" w:type="dxa"/>
              <w:left w:w="100" w:type="dxa"/>
              <w:bottom w:w="80" w:type="dxa"/>
              <w:right w:w="100" w:type="dxa"/>
            </w:tcMar>
          </w:tcPr>
          <w:p w:rsidR="00FD67E1" w:rsidRDefault="00EE0B9A">
            <w:r>
              <w:rPr>
                <w:b/>
                <w:color w:val="FFFFFF"/>
                <w:sz w:val="16"/>
              </w:rPr>
              <w:t>Global Years 6 to 10</w:t>
            </w:r>
          </w:p>
        </w:tc>
      </w:tr>
      <w:tr w:rsidR="00FD67E1">
        <w:trPr>
          <w:cantSplit/>
          <w:jc w:val="center"/>
        </w:trPr>
        <w:tc>
          <w:tcPr>
            <w:tcW w:w="2376" w:type="dxa"/>
            <w:tcMar>
              <w:top w:w="80" w:type="dxa"/>
              <w:left w:w="100" w:type="dxa"/>
              <w:bottom w:w="80" w:type="dxa"/>
              <w:right w:w="100" w:type="dxa"/>
            </w:tcMar>
            <w:vAlign w:val="center"/>
          </w:tcPr>
          <w:p w:rsidR="00FD67E1" w:rsidRDefault="00EE0B9A">
            <w:pPr>
              <w:spacing w:after="0"/>
            </w:pPr>
            <w:r>
              <w:rPr>
                <w:sz w:val="16"/>
              </w:rPr>
              <w:t>Primary: commercial growth and market positioning</w:t>
            </w:r>
          </w:p>
        </w:tc>
        <w:tc>
          <w:tcPr>
            <w:tcW w:w="2448" w:type="dxa"/>
            <w:tcMar>
              <w:top w:w="80" w:type="dxa"/>
              <w:left w:w="100" w:type="dxa"/>
              <w:bottom w:w="80" w:type="dxa"/>
              <w:right w:w="100" w:type="dxa"/>
            </w:tcMar>
            <w:vAlign w:val="center"/>
          </w:tcPr>
          <w:p w:rsidR="00FD67E1" w:rsidRDefault="00EE0B9A">
            <w:pPr>
              <w:spacing w:after="0"/>
            </w:pPr>
            <w:r>
              <w:rPr>
                <w:sz w:val="16"/>
              </w:rPr>
              <w:t>Establish Tharaa as Ajman’s flagship ecosystem.</w:t>
            </w:r>
          </w:p>
        </w:tc>
        <w:tc>
          <w:tcPr>
            <w:tcW w:w="2448" w:type="dxa"/>
            <w:tcMar>
              <w:top w:w="80" w:type="dxa"/>
              <w:left w:w="100" w:type="dxa"/>
              <w:bottom w:w="80" w:type="dxa"/>
              <w:right w:w="100" w:type="dxa"/>
            </w:tcMar>
            <w:vAlign w:val="center"/>
          </w:tcPr>
          <w:p w:rsidR="00FD67E1" w:rsidRDefault="00EE0B9A">
            <w:pPr>
              <w:spacing w:after="0"/>
            </w:pPr>
            <w:r>
              <w:rPr>
                <w:sz w:val="16"/>
              </w:rPr>
              <w:t>Generate regional demand.</w:t>
            </w:r>
          </w:p>
        </w:tc>
        <w:tc>
          <w:tcPr>
            <w:tcW w:w="2376" w:type="dxa"/>
            <w:tcMar>
              <w:top w:w="80" w:type="dxa"/>
              <w:left w:w="100" w:type="dxa"/>
              <w:bottom w:w="80" w:type="dxa"/>
              <w:right w:w="100" w:type="dxa"/>
            </w:tcMar>
            <w:vAlign w:val="center"/>
          </w:tcPr>
          <w:p w:rsidR="00FD67E1" w:rsidRDefault="00EE0B9A">
            <w:pPr>
              <w:spacing w:after="0"/>
            </w:pPr>
            <w:r>
              <w:rPr>
                <w:sz w:val="16"/>
              </w:rPr>
              <w:t>Build international presence and IPO readiness.</w:t>
            </w:r>
          </w:p>
        </w:tc>
      </w:tr>
      <w:tr w:rsidR="00FD67E1">
        <w:trPr>
          <w:cantSplit/>
          <w:jc w:val="center"/>
        </w:trPr>
        <w:tc>
          <w:tcPr>
            <w:tcW w:w="2376" w:type="dxa"/>
            <w:shd w:val="clear" w:color="auto" w:fill="F4F7F8"/>
            <w:tcMar>
              <w:top w:w="80" w:type="dxa"/>
              <w:left w:w="100" w:type="dxa"/>
              <w:bottom w:w="80" w:type="dxa"/>
              <w:right w:w="100" w:type="dxa"/>
            </w:tcMar>
            <w:vAlign w:val="center"/>
          </w:tcPr>
          <w:p w:rsidR="00FD67E1" w:rsidRDefault="00EE0B9A">
            <w:pPr>
              <w:spacing w:after="0"/>
            </w:pPr>
            <w:r>
              <w:rPr>
                <w:sz w:val="16"/>
              </w:rPr>
              <w:t>Secondary: reputation and trust</w:t>
            </w:r>
          </w:p>
        </w:tc>
        <w:tc>
          <w:tcPr>
            <w:tcW w:w="2448" w:type="dxa"/>
            <w:shd w:val="clear" w:color="auto" w:fill="F4F7F8"/>
            <w:tcMar>
              <w:top w:w="80" w:type="dxa"/>
              <w:left w:w="100" w:type="dxa"/>
              <w:bottom w:w="80" w:type="dxa"/>
              <w:right w:w="100" w:type="dxa"/>
            </w:tcMar>
            <w:vAlign w:val="center"/>
          </w:tcPr>
          <w:p w:rsidR="00FD67E1" w:rsidRDefault="00EE0B9A">
            <w:pPr>
              <w:spacing w:after="0"/>
            </w:pPr>
            <w:r>
              <w:rPr>
                <w:sz w:val="16"/>
              </w:rPr>
              <w:t>Demonstrate tangible value through jobs and growth.</w:t>
            </w:r>
          </w:p>
        </w:tc>
        <w:tc>
          <w:tcPr>
            <w:tcW w:w="2448" w:type="dxa"/>
            <w:shd w:val="clear" w:color="auto" w:fill="F4F7F8"/>
            <w:tcMar>
              <w:top w:w="80" w:type="dxa"/>
              <w:left w:w="100" w:type="dxa"/>
              <w:bottom w:w="80" w:type="dxa"/>
              <w:right w:w="100" w:type="dxa"/>
            </w:tcMar>
            <w:vAlign w:val="center"/>
          </w:tcPr>
          <w:p w:rsidR="00FD67E1" w:rsidRDefault="00EE0B9A">
            <w:pPr>
              <w:spacing w:after="0"/>
            </w:pPr>
            <w:r>
              <w:rPr>
                <w:sz w:val="16"/>
              </w:rPr>
              <w:t>Build authority through partnerships.</w:t>
            </w:r>
          </w:p>
        </w:tc>
        <w:tc>
          <w:tcPr>
            <w:tcW w:w="2376" w:type="dxa"/>
            <w:shd w:val="clear" w:color="auto" w:fill="F4F7F8"/>
            <w:tcMar>
              <w:top w:w="80" w:type="dxa"/>
              <w:left w:w="100" w:type="dxa"/>
              <w:bottom w:w="80" w:type="dxa"/>
              <w:right w:w="100" w:type="dxa"/>
            </w:tcMar>
            <w:vAlign w:val="center"/>
          </w:tcPr>
          <w:p w:rsidR="00FD67E1" w:rsidRDefault="00EE0B9A">
            <w:pPr>
              <w:spacing w:after="0"/>
            </w:pPr>
            <w:r>
              <w:rPr>
                <w:sz w:val="16"/>
              </w:rPr>
              <w:t>Strengthen confidence in governance and performance.</w:t>
            </w:r>
          </w:p>
        </w:tc>
      </w:tr>
    </w:tbl>
    <w:p w:rsidR="00FD67E1" w:rsidRDefault="00FD67E1">
      <w:pPr>
        <w:spacing w:after="0"/>
      </w:pPr>
    </w:p>
    <w:p w:rsidR="00FD67E1" w:rsidRDefault="00EE0B9A">
      <w:r>
        <w:t>Priority media include UAE Arabic and English media, business and investment media, government media, startup media, technology media and GCC media.</w:t>
      </w:r>
    </w:p>
    <w:tbl>
      <w:tblPr>
        <w:tblStyle w:val="TableGrid"/>
        <w:tblW w:w="0" w:type="auto"/>
        <w:jc w:val="center"/>
        <w:tblLook w:val="04A0" w:firstRow="1" w:lastRow="0" w:firstColumn="1" w:lastColumn="0" w:noHBand="0" w:noVBand="1"/>
      </w:tblPr>
      <w:tblGrid>
        <w:gridCol w:w="2592"/>
        <w:gridCol w:w="7056"/>
      </w:tblGrid>
      <w:tr w:rsidR="00FD67E1">
        <w:trPr>
          <w:cantSplit/>
          <w:tblHeader/>
          <w:jc w:val="center"/>
        </w:trPr>
        <w:tc>
          <w:tcPr>
            <w:tcW w:w="2592" w:type="dxa"/>
            <w:shd w:val="clear" w:color="auto" w:fill="13283F"/>
            <w:tcMar>
              <w:top w:w="80" w:type="dxa"/>
              <w:left w:w="100" w:type="dxa"/>
              <w:bottom w:w="80" w:type="dxa"/>
              <w:right w:w="100" w:type="dxa"/>
            </w:tcMar>
          </w:tcPr>
          <w:p w:rsidR="00FD67E1" w:rsidRDefault="00EE0B9A">
            <w:r>
              <w:rPr>
                <w:b/>
                <w:color w:val="FFFFFF"/>
                <w:sz w:val="16"/>
              </w:rPr>
              <w:t>Objective</w:t>
            </w:r>
          </w:p>
        </w:tc>
        <w:tc>
          <w:tcPr>
            <w:tcW w:w="7056" w:type="dxa"/>
            <w:shd w:val="clear" w:color="auto" w:fill="13283F"/>
            <w:tcMar>
              <w:top w:w="80" w:type="dxa"/>
              <w:left w:w="100" w:type="dxa"/>
              <w:bottom w:w="80" w:type="dxa"/>
              <w:right w:w="100" w:type="dxa"/>
            </w:tcMar>
          </w:tcPr>
          <w:p w:rsidR="00FD67E1" w:rsidRDefault="00EE0B9A">
            <w:r>
              <w:rPr>
                <w:b/>
                <w:color w:val="FFFFFF"/>
                <w:sz w:val="16"/>
              </w:rPr>
              <w:t>Indicative measures</w:t>
            </w:r>
          </w:p>
        </w:tc>
      </w:tr>
      <w:tr w:rsidR="00FD67E1">
        <w:trPr>
          <w:cantSplit/>
          <w:jc w:val="center"/>
        </w:trPr>
        <w:tc>
          <w:tcPr>
            <w:tcW w:w="2592" w:type="dxa"/>
            <w:tcMar>
              <w:top w:w="80" w:type="dxa"/>
              <w:left w:w="100" w:type="dxa"/>
              <w:bottom w:w="80" w:type="dxa"/>
              <w:right w:w="100" w:type="dxa"/>
            </w:tcMar>
            <w:vAlign w:val="center"/>
          </w:tcPr>
          <w:p w:rsidR="00FD67E1" w:rsidRDefault="00EE0B9A">
            <w:pPr>
              <w:spacing w:after="0"/>
            </w:pPr>
            <w:r>
              <w:rPr>
                <w:sz w:val="16"/>
              </w:rPr>
              <w:t>Establish authority and clarity</w:t>
            </w:r>
          </w:p>
        </w:tc>
        <w:tc>
          <w:tcPr>
            <w:tcW w:w="7056" w:type="dxa"/>
            <w:tcMar>
              <w:top w:w="80" w:type="dxa"/>
              <w:left w:w="100" w:type="dxa"/>
              <w:bottom w:w="80" w:type="dxa"/>
              <w:right w:w="100" w:type="dxa"/>
            </w:tcMar>
            <w:vAlign w:val="center"/>
          </w:tcPr>
          <w:p w:rsidR="00FD67E1" w:rsidRDefault="00EE0B9A">
            <w:pPr>
              <w:spacing w:after="0"/>
            </w:pPr>
            <w:r>
              <w:rPr>
                <w:sz w:val="16"/>
              </w:rPr>
              <w:t>Message comprehension, quality of coverage, share of relevant voice, stakeholder recognition and brand consistency.</w:t>
            </w:r>
          </w:p>
        </w:tc>
      </w:tr>
      <w:tr w:rsidR="00FD67E1">
        <w:trPr>
          <w:cantSplit/>
          <w:jc w:val="center"/>
        </w:trPr>
        <w:tc>
          <w:tcPr>
            <w:tcW w:w="2592" w:type="dxa"/>
            <w:shd w:val="clear" w:color="auto" w:fill="F4F7F8"/>
            <w:tcMar>
              <w:top w:w="80" w:type="dxa"/>
              <w:left w:w="100" w:type="dxa"/>
              <w:bottom w:w="80" w:type="dxa"/>
              <w:right w:w="100" w:type="dxa"/>
            </w:tcMar>
            <w:vAlign w:val="center"/>
          </w:tcPr>
          <w:p w:rsidR="00FD67E1" w:rsidRDefault="00EE0B9A">
            <w:pPr>
              <w:spacing w:after="0"/>
            </w:pPr>
            <w:r>
              <w:rPr>
                <w:sz w:val="16"/>
              </w:rPr>
              <w:t>Generate participation</w:t>
            </w:r>
          </w:p>
        </w:tc>
        <w:tc>
          <w:tcPr>
            <w:tcW w:w="7056" w:type="dxa"/>
            <w:shd w:val="clear" w:color="auto" w:fill="F4F7F8"/>
            <w:tcMar>
              <w:top w:w="80" w:type="dxa"/>
              <w:left w:w="100" w:type="dxa"/>
              <w:bottom w:w="80" w:type="dxa"/>
              <w:right w:w="100" w:type="dxa"/>
            </w:tcMar>
            <w:vAlign w:val="center"/>
          </w:tcPr>
          <w:p w:rsidR="00FD67E1" w:rsidRDefault="00EE0B9A">
            <w:pPr>
              <w:spacing w:after="0"/>
            </w:pPr>
            <w:r>
              <w:rPr>
                <w:sz w:val="16"/>
              </w:rPr>
              <w:t>Qualified applications, cohort applications, event registrations, workspace/service enquiries, partner leads and investor interest.</w:t>
            </w:r>
          </w:p>
        </w:tc>
      </w:tr>
      <w:tr w:rsidR="00FD67E1">
        <w:trPr>
          <w:cantSplit/>
          <w:jc w:val="center"/>
        </w:trPr>
        <w:tc>
          <w:tcPr>
            <w:tcW w:w="2592" w:type="dxa"/>
            <w:tcMar>
              <w:top w:w="80" w:type="dxa"/>
              <w:left w:w="100" w:type="dxa"/>
              <w:bottom w:w="80" w:type="dxa"/>
              <w:right w:w="100" w:type="dxa"/>
            </w:tcMar>
            <w:vAlign w:val="center"/>
          </w:tcPr>
          <w:p w:rsidR="00FD67E1" w:rsidRDefault="00EE0B9A">
            <w:pPr>
              <w:spacing w:after="0"/>
            </w:pPr>
            <w:r>
              <w:rPr>
                <w:sz w:val="16"/>
              </w:rPr>
              <w:t>Support economic outcomes</w:t>
            </w:r>
          </w:p>
        </w:tc>
        <w:tc>
          <w:tcPr>
            <w:tcW w:w="7056" w:type="dxa"/>
            <w:tcMar>
              <w:top w:w="80" w:type="dxa"/>
              <w:left w:w="100" w:type="dxa"/>
              <w:bottom w:w="80" w:type="dxa"/>
              <w:right w:w="100" w:type="dxa"/>
            </w:tcMar>
            <w:vAlign w:val="center"/>
          </w:tcPr>
          <w:p w:rsidR="00FD67E1" w:rsidRDefault="00EE0B9A">
            <w:pPr>
              <w:spacing w:after="0"/>
            </w:pPr>
            <w:r>
              <w:rPr>
                <w:sz w:val="16"/>
              </w:rPr>
              <w:t>Verified companies supported, jobs enabled, capital facilitated, commercial opportunities, survival/growth and market-entry outcomes.</w:t>
            </w:r>
          </w:p>
        </w:tc>
      </w:tr>
      <w:tr w:rsidR="00FD67E1">
        <w:trPr>
          <w:cantSplit/>
          <w:jc w:val="center"/>
        </w:trPr>
        <w:tc>
          <w:tcPr>
            <w:tcW w:w="2592" w:type="dxa"/>
            <w:shd w:val="clear" w:color="auto" w:fill="F4F7F8"/>
            <w:tcMar>
              <w:top w:w="80" w:type="dxa"/>
              <w:left w:w="100" w:type="dxa"/>
              <w:bottom w:w="80" w:type="dxa"/>
              <w:right w:w="100" w:type="dxa"/>
            </w:tcMar>
            <w:vAlign w:val="center"/>
          </w:tcPr>
          <w:p w:rsidR="00FD67E1" w:rsidRDefault="00EE0B9A">
            <w:pPr>
              <w:spacing w:after="0"/>
            </w:pPr>
            <w:r>
              <w:rPr>
                <w:sz w:val="16"/>
              </w:rPr>
              <w:t>Build community and inclusion</w:t>
            </w:r>
          </w:p>
        </w:tc>
        <w:tc>
          <w:tcPr>
            <w:tcW w:w="7056" w:type="dxa"/>
            <w:shd w:val="clear" w:color="auto" w:fill="F4F7F8"/>
            <w:tcMar>
              <w:top w:w="80" w:type="dxa"/>
              <w:left w:w="100" w:type="dxa"/>
              <w:bottom w:w="80" w:type="dxa"/>
              <w:right w:w="100" w:type="dxa"/>
            </w:tcMar>
            <w:vAlign w:val="center"/>
          </w:tcPr>
          <w:p w:rsidR="00FD67E1" w:rsidRDefault="00EE0B9A">
            <w:pPr>
              <w:spacing w:after="0"/>
            </w:pPr>
            <w:r>
              <w:rPr>
                <w:sz w:val="16"/>
              </w:rPr>
              <w:t>Participation by UAE nationals, women, youth, people of determination, students and entrepreneurs from Masfout and Manama.</w:t>
            </w:r>
          </w:p>
        </w:tc>
      </w:tr>
      <w:tr w:rsidR="00FD67E1">
        <w:trPr>
          <w:cantSplit/>
          <w:jc w:val="center"/>
        </w:trPr>
        <w:tc>
          <w:tcPr>
            <w:tcW w:w="2592" w:type="dxa"/>
            <w:tcMar>
              <w:top w:w="80" w:type="dxa"/>
              <w:left w:w="100" w:type="dxa"/>
              <w:bottom w:w="80" w:type="dxa"/>
              <w:right w:w="100" w:type="dxa"/>
            </w:tcMar>
            <w:vAlign w:val="center"/>
          </w:tcPr>
          <w:p w:rsidR="00FD67E1" w:rsidRDefault="00EE0B9A">
            <w:pPr>
              <w:spacing w:after="0"/>
            </w:pPr>
            <w:r>
              <w:rPr>
                <w:sz w:val="16"/>
              </w:rPr>
              <w:t>Strengthen digital performance</w:t>
            </w:r>
          </w:p>
        </w:tc>
        <w:tc>
          <w:tcPr>
            <w:tcW w:w="7056" w:type="dxa"/>
            <w:tcMar>
              <w:top w:w="80" w:type="dxa"/>
              <w:left w:w="100" w:type="dxa"/>
              <w:bottom w:w="80" w:type="dxa"/>
              <w:right w:w="100" w:type="dxa"/>
            </w:tcMar>
            <w:vAlign w:val="center"/>
          </w:tcPr>
          <w:p w:rsidR="00FD67E1" w:rsidRDefault="00EE0B9A">
            <w:pPr>
              <w:spacing w:after="0"/>
            </w:pPr>
            <w:r>
              <w:rPr>
                <w:sz w:val="16"/>
              </w:rPr>
              <w:t>Qualified reach, engagement quality, video completion, website conversion, cost per qualified action and lead quality.</w:t>
            </w:r>
          </w:p>
        </w:tc>
      </w:tr>
      <w:tr w:rsidR="00FD67E1">
        <w:trPr>
          <w:cantSplit/>
          <w:jc w:val="center"/>
        </w:trPr>
        <w:tc>
          <w:tcPr>
            <w:tcW w:w="2592" w:type="dxa"/>
            <w:shd w:val="clear" w:color="auto" w:fill="F4F7F8"/>
            <w:tcMar>
              <w:top w:w="80" w:type="dxa"/>
              <w:left w:w="100" w:type="dxa"/>
              <w:bottom w:w="80" w:type="dxa"/>
              <w:right w:w="100" w:type="dxa"/>
            </w:tcMar>
            <w:vAlign w:val="center"/>
          </w:tcPr>
          <w:p w:rsidR="00FD67E1" w:rsidRDefault="00EE0B9A">
            <w:pPr>
              <w:spacing w:after="0"/>
            </w:pPr>
            <w:r>
              <w:rPr>
                <w:sz w:val="16"/>
              </w:rPr>
              <w:t>Protect reputation</w:t>
            </w:r>
          </w:p>
        </w:tc>
        <w:tc>
          <w:tcPr>
            <w:tcW w:w="7056" w:type="dxa"/>
            <w:shd w:val="clear" w:color="auto" w:fill="F4F7F8"/>
            <w:tcMar>
              <w:top w:w="80" w:type="dxa"/>
              <w:left w:w="100" w:type="dxa"/>
              <w:bottom w:w="80" w:type="dxa"/>
              <w:right w:w="100" w:type="dxa"/>
            </w:tcMar>
            <w:vAlign w:val="center"/>
          </w:tcPr>
          <w:p w:rsidR="00FD67E1" w:rsidRDefault="00EE0B9A">
            <w:pPr>
              <w:spacing w:after="0"/>
            </w:pPr>
            <w:r>
              <w:rPr>
                <w:sz w:val="16"/>
              </w:rPr>
              <w:t>Accuracy, approval compliance, response time, issue containment and absence of unsupported claims.</w:t>
            </w:r>
          </w:p>
        </w:tc>
      </w:tr>
    </w:tbl>
    <w:p w:rsidR="00FD67E1" w:rsidRDefault="00FD67E1">
      <w:pPr>
        <w:spacing w:after="0"/>
      </w:pPr>
    </w:p>
    <w:p w:rsidR="00FD67E1" w:rsidRDefault="00EE0B9A">
      <w:r>
        <w:t>Targets will be baselined and approved after mobilisation. The agency must not invent performance, beneficiary or investment figures. The communications dashboard must distinguish verified outcomes, pipeline, targets and aspirations.</w:t>
      </w:r>
    </w:p>
    <w:p w:rsidR="00FD67E1" w:rsidRDefault="00EE0B9A">
      <w:pPr>
        <w:pStyle w:val="Heading1"/>
      </w:pPr>
      <w:r>
        <w:t>10. Governance, Approvals and Risk Controls</w:t>
      </w:r>
    </w:p>
    <w:tbl>
      <w:tblPr>
        <w:tblStyle w:val="TableGrid"/>
        <w:tblW w:w="0" w:type="auto"/>
        <w:jc w:val="center"/>
        <w:tblLook w:val="04A0" w:firstRow="1" w:lastRow="0" w:firstColumn="1" w:lastColumn="0" w:noHBand="0" w:noVBand="1"/>
      </w:tblPr>
      <w:tblGrid>
        <w:gridCol w:w="2160"/>
        <w:gridCol w:w="7488"/>
      </w:tblGrid>
      <w:tr w:rsidR="00FD67E1">
        <w:trPr>
          <w:cantSplit/>
          <w:tblHeader/>
          <w:jc w:val="center"/>
        </w:trPr>
        <w:tc>
          <w:tcPr>
            <w:tcW w:w="2160" w:type="dxa"/>
            <w:shd w:val="clear" w:color="auto" w:fill="13283F"/>
            <w:tcMar>
              <w:top w:w="80" w:type="dxa"/>
              <w:left w:w="100" w:type="dxa"/>
              <w:bottom w:w="80" w:type="dxa"/>
              <w:right w:w="100" w:type="dxa"/>
            </w:tcMar>
          </w:tcPr>
          <w:p w:rsidR="00FD67E1" w:rsidRDefault="00EE0B9A">
            <w:r>
              <w:rPr>
                <w:b/>
                <w:color w:val="FFFFFF"/>
                <w:sz w:val="16"/>
              </w:rPr>
              <w:t>Area</w:t>
            </w:r>
          </w:p>
        </w:tc>
        <w:tc>
          <w:tcPr>
            <w:tcW w:w="7488" w:type="dxa"/>
            <w:shd w:val="clear" w:color="auto" w:fill="13283F"/>
            <w:tcMar>
              <w:top w:w="80" w:type="dxa"/>
              <w:left w:w="100" w:type="dxa"/>
              <w:bottom w:w="80" w:type="dxa"/>
              <w:right w:w="100" w:type="dxa"/>
            </w:tcMar>
          </w:tcPr>
          <w:p w:rsidR="00FD67E1" w:rsidRDefault="00EE0B9A">
            <w:r>
              <w:rPr>
                <w:b/>
                <w:color w:val="FFFFFF"/>
                <w:sz w:val="16"/>
              </w:rPr>
              <w:t>Requirement</w:t>
            </w:r>
          </w:p>
        </w:tc>
      </w:tr>
      <w:tr w:rsidR="00FD67E1">
        <w:trPr>
          <w:cantSplit/>
          <w:jc w:val="center"/>
        </w:trPr>
        <w:tc>
          <w:tcPr>
            <w:tcW w:w="2160" w:type="dxa"/>
            <w:tcMar>
              <w:top w:w="80" w:type="dxa"/>
              <w:left w:w="100" w:type="dxa"/>
              <w:bottom w:w="80" w:type="dxa"/>
              <w:right w:w="100" w:type="dxa"/>
            </w:tcMar>
            <w:vAlign w:val="center"/>
          </w:tcPr>
          <w:p w:rsidR="00FD67E1" w:rsidRDefault="00EE0B9A">
            <w:pPr>
              <w:spacing w:after="0"/>
            </w:pPr>
            <w:r>
              <w:rPr>
                <w:sz w:val="16"/>
              </w:rPr>
              <w:t>Corporate independence</w:t>
            </w:r>
          </w:p>
        </w:tc>
        <w:tc>
          <w:tcPr>
            <w:tcW w:w="7488" w:type="dxa"/>
            <w:tcMar>
              <w:top w:w="80" w:type="dxa"/>
              <w:left w:w="100" w:type="dxa"/>
              <w:bottom w:w="80" w:type="dxa"/>
              <w:right w:w="100" w:type="dxa"/>
            </w:tcMar>
            <w:vAlign w:val="center"/>
          </w:tcPr>
          <w:p w:rsidR="00FD67E1" w:rsidRDefault="00EE0B9A">
            <w:pPr>
              <w:spacing w:after="0"/>
            </w:pPr>
            <w:r>
              <w:rPr>
                <w:sz w:val="16"/>
              </w:rPr>
              <w:t>Tharaa operates through its own Board, management, brand and commercial entities and must not be presented as a government department.</w:t>
            </w:r>
          </w:p>
        </w:tc>
      </w:tr>
      <w:tr w:rsidR="00FD67E1">
        <w:trPr>
          <w:cantSplit/>
          <w:jc w:val="center"/>
        </w:trPr>
        <w:tc>
          <w:tcPr>
            <w:tcW w:w="2160" w:type="dxa"/>
            <w:shd w:val="clear" w:color="auto" w:fill="F4F7F8"/>
            <w:tcMar>
              <w:top w:w="80" w:type="dxa"/>
              <w:left w:w="100" w:type="dxa"/>
              <w:bottom w:w="80" w:type="dxa"/>
              <w:right w:w="100" w:type="dxa"/>
            </w:tcMar>
            <w:vAlign w:val="center"/>
          </w:tcPr>
          <w:p w:rsidR="00FD67E1" w:rsidRDefault="00EE0B9A">
            <w:pPr>
              <w:spacing w:after="0"/>
            </w:pPr>
            <w:r>
              <w:rPr>
                <w:sz w:val="16"/>
              </w:rPr>
              <w:t>Brand governance</w:t>
            </w:r>
          </w:p>
        </w:tc>
        <w:tc>
          <w:tcPr>
            <w:tcW w:w="7488" w:type="dxa"/>
            <w:shd w:val="clear" w:color="auto" w:fill="F4F7F8"/>
            <w:tcMar>
              <w:top w:w="80" w:type="dxa"/>
              <w:left w:w="100" w:type="dxa"/>
              <w:bottom w:w="80" w:type="dxa"/>
              <w:right w:w="100" w:type="dxa"/>
            </w:tcMar>
            <w:vAlign w:val="center"/>
          </w:tcPr>
          <w:p w:rsidR="00FD67E1" w:rsidRDefault="00EE0B9A">
            <w:pPr>
              <w:spacing w:after="0"/>
            </w:pPr>
            <w:r>
              <w:rPr>
                <w:sz w:val="16"/>
              </w:rPr>
              <w:t>Tharaa Holding governs the ecosystem brand. Entity communications must conform to the approved master-brand system.</w:t>
            </w:r>
          </w:p>
        </w:tc>
      </w:tr>
      <w:tr w:rsidR="00FD67E1">
        <w:trPr>
          <w:cantSplit/>
          <w:jc w:val="center"/>
        </w:trPr>
        <w:tc>
          <w:tcPr>
            <w:tcW w:w="2160" w:type="dxa"/>
            <w:tcMar>
              <w:top w:w="80" w:type="dxa"/>
              <w:left w:w="100" w:type="dxa"/>
              <w:bottom w:w="80" w:type="dxa"/>
              <w:right w:w="100" w:type="dxa"/>
            </w:tcMar>
            <w:vAlign w:val="center"/>
          </w:tcPr>
          <w:p w:rsidR="00FD67E1" w:rsidRDefault="00EE0B9A">
            <w:pPr>
              <w:spacing w:after="0"/>
            </w:pPr>
            <w:r>
              <w:rPr>
                <w:sz w:val="16"/>
              </w:rPr>
              <w:t>Approvals</w:t>
            </w:r>
          </w:p>
        </w:tc>
        <w:tc>
          <w:tcPr>
            <w:tcW w:w="7488" w:type="dxa"/>
            <w:tcMar>
              <w:top w:w="80" w:type="dxa"/>
              <w:left w:w="100" w:type="dxa"/>
              <w:bottom w:w="80" w:type="dxa"/>
              <w:right w:w="100" w:type="dxa"/>
            </w:tcMar>
            <w:vAlign w:val="center"/>
          </w:tcPr>
          <w:p w:rsidR="00FD67E1" w:rsidRDefault="00EE0B9A">
            <w:pPr>
              <w:spacing w:after="0"/>
            </w:pPr>
            <w:r>
              <w:rPr>
                <w:sz w:val="16"/>
              </w:rPr>
              <w:t>No item is published without approval through the agreed Tharaa governance workflow. The agency must propose a RACI and digital approval process.</w:t>
            </w:r>
          </w:p>
        </w:tc>
      </w:tr>
      <w:tr w:rsidR="00FD67E1">
        <w:trPr>
          <w:cantSplit/>
          <w:jc w:val="center"/>
        </w:trPr>
        <w:tc>
          <w:tcPr>
            <w:tcW w:w="2160" w:type="dxa"/>
            <w:shd w:val="clear" w:color="auto" w:fill="F4F7F8"/>
            <w:tcMar>
              <w:top w:w="80" w:type="dxa"/>
              <w:left w:w="100" w:type="dxa"/>
              <w:bottom w:w="80" w:type="dxa"/>
              <w:right w:w="100" w:type="dxa"/>
            </w:tcMar>
            <w:vAlign w:val="center"/>
          </w:tcPr>
          <w:p w:rsidR="00FD67E1" w:rsidRDefault="00EE0B9A">
            <w:pPr>
              <w:spacing w:after="0"/>
            </w:pPr>
            <w:r>
              <w:rPr>
                <w:sz w:val="16"/>
              </w:rPr>
              <w:t>Protocol</w:t>
            </w:r>
          </w:p>
        </w:tc>
        <w:tc>
          <w:tcPr>
            <w:tcW w:w="7488" w:type="dxa"/>
            <w:shd w:val="clear" w:color="auto" w:fill="F4F7F8"/>
            <w:tcMar>
              <w:top w:w="80" w:type="dxa"/>
              <w:left w:w="100" w:type="dxa"/>
              <w:bottom w:w="80" w:type="dxa"/>
              <w:right w:w="100" w:type="dxa"/>
            </w:tcMar>
            <w:vAlign w:val="center"/>
          </w:tcPr>
          <w:p w:rsidR="00FD67E1" w:rsidRDefault="00EE0B9A">
            <w:pPr>
              <w:spacing w:after="0"/>
            </w:pPr>
            <w:r>
              <w:rPr>
                <w:sz w:val="16"/>
              </w:rPr>
              <w:t>Chairperson, Board, Group CEO, government leaders and official events require protocol-compliant titles, imagery, sequencing and approvals.</w:t>
            </w:r>
          </w:p>
        </w:tc>
      </w:tr>
      <w:tr w:rsidR="00FD67E1">
        <w:trPr>
          <w:cantSplit/>
          <w:jc w:val="center"/>
        </w:trPr>
        <w:tc>
          <w:tcPr>
            <w:tcW w:w="2160" w:type="dxa"/>
            <w:tcMar>
              <w:top w:w="80" w:type="dxa"/>
              <w:left w:w="100" w:type="dxa"/>
              <w:bottom w:w="80" w:type="dxa"/>
              <w:right w:w="100" w:type="dxa"/>
            </w:tcMar>
            <w:vAlign w:val="center"/>
          </w:tcPr>
          <w:p w:rsidR="00FD67E1" w:rsidRDefault="00EE0B9A">
            <w:pPr>
              <w:spacing w:after="0"/>
            </w:pPr>
            <w:r>
              <w:rPr>
                <w:sz w:val="16"/>
              </w:rPr>
              <w:t>Investment claims</w:t>
            </w:r>
          </w:p>
        </w:tc>
        <w:tc>
          <w:tcPr>
            <w:tcW w:w="7488" w:type="dxa"/>
            <w:tcMar>
              <w:top w:w="80" w:type="dxa"/>
              <w:left w:w="100" w:type="dxa"/>
              <w:bottom w:w="80" w:type="dxa"/>
              <w:right w:w="100" w:type="dxa"/>
            </w:tcMar>
            <w:vAlign w:val="center"/>
          </w:tcPr>
          <w:p w:rsidR="00FD67E1" w:rsidRDefault="00EE0B9A">
            <w:pPr>
              <w:spacing w:after="0"/>
            </w:pPr>
            <w:r>
              <w:rPr>
                <w:sz w:val="16"/>
              </w:rPr>
              <w:t>No statement implying fund launch, licence, Sharia certification, investment commitment, guaranteed return, portfolio status or fundraising may be issued without documentary approval.</w:t>
            </w:r>
          </w:p>
        </w:tc>
      </w:tr>
      <w:tr w:rsidR="00FD67E1">
        <w:trPr>
          <w:cantSplit/>
          <w:jc w:val="center"/>
        </w:trPr>
        <w:tc>
          <w:tcPr>
            <w:tcW w:w="2160" w:type="dxa"/>
            <w:shd w:val="clear" w:color="auto" w:fill="F4F7F8"/>
            <w:tcMar>
              <w:top w:w="80" w:type="dxa"/>
              <w:left w:w="100" w:type="dxa"/>
              <w:bottom w:w="80" w:type="dxa"/>
              <w:right w:w="100" w:type="dxa"/>
            </w:tcMar>
            <w:vAlign w:val="center"/>
          </w:tcPr>
          <w:p w:rsidR="00FD67E1" w:rsidRDefault="00EE0B9A">
            <w:pPr>
              <w:spacing w:after="0"/>
            </w:pPr>
            <w:r>
              <w:rPr>
                <w:sz w:val="16"/>
              </w:rPr>
              <w:t>Partnership claims</w:t>
            </w:r>
          </w:p>
        </w:tc>
        <w:tc>
          <w:tcPr>
            <w:tcW w:w="7488" w:type="dxa"/>
            <w:shd w:val="clear" w:color="auto" w:fill="F4F7F8"/>
            <w:tcMar>
              <w:top w:w="80" w:type="dxa"/>
              <w:left w:w="100" w:type="dxa"/>
              <w:bottom w:w="80" w:type="dxa"/>
              <w:right w:w="100" w:type="dxa"/>
            </w:tcMar>
            <w:vAlign w:val="center"/>
          </w:tcPr>
          <w:p w:rsidR="00FD67E1" w:rsidRDefault="00EE0B9A">
            <w:pPr>
              <w:spacing w:after="0"/>
            </w:pPr>
            <w:r>
              <w:rPr>
                <w:sz w:val="16"/>
              </w:rPr>
              <w:t>Potential accommodation, school, healthcare, visa, university, sponsor, investor or market-access arrangements are not public partnerships until signed and approved.</w:t>
            </w:r>
          </w:p>
        </w:tc>
      </w:tr>
      <w:tr w:rsidR="00FD67E1">
        <w:trPr>
          <w:cantSplit/>
          <w:jc w:val="center"/>
        </w:trPr>
        <w:tc>
          <w:tcPr>
            <w:tcW w:w="2160" w:type="dxa"/>
            <w:tcMar>
              <w:top w:w="80" w:type="dxa"/>
              <w:left w:w="100" w:type="dxa"/>
              <w:bottom w:w="80" w:type="dxa"/>
              <w:right w:w="100" w:type="dxa"/>
            </w:tcMar>
            <w:vAlign w:val="center"/>
          </w:tcPr>
          <w:p w:rsidR="00FD67E1" w:rsidRDefault="00EE0B9A">
            <w:pPr>
              <w:spacing w:after="0"/>
            </w:pPr>
            <w:r>
              <w:rPr>
                <w:sz w:val="16"/>
              </w:rPr>
              <w:lastRenderedPageBreak/>
              <w:t>Data and privacy</w:t>
            </w:r>
          </w:p>
        </w:tc>
        <w:tc>
          <w:tcPr>
            <w:tcW w:w="7488" w:type="dxa"/>
            <w:tcMar>
              <w:top w:w="80" w:type="dxa"/>
              <w:left w:w="100" w:type="dxa"/>
              <w:bottom w:w="80" w:type="dxa"/>
              <w:right w:w="100" w:type="dxa"/>
            </w:tcMar>
            <w:vAlign w:val="center"/>
          </w:tcPr>
          <w:p w:rsidR="00FD67E1" w:rsidRDefault="00EE0B9A">
            <w:pPr>
              <w:spacing w:after="0"/>
            </w:pPr>
            <w:r>
              <w:rPr>
                <w:sz w:val="16"/>
              </w:rPr>
              <w:t>Obtain releases and consent; follow UAE privacy and cyber requirements; store data in approved systems; protect minors and applicants.</w:t>
            </w:r>
          </w:p>
        </w:tc>
      </w:tr>
      <w:tr w:rsidR="00FD67E1">
        <w:trPr>
          <w:cantSplit/>
          <w:jc w:val="center"/>
        </w:trPr>
        <w:tc>
          <w:tcPr>
            <w:tcW w:w="2160" w:type="dxa"/>
            <w:shd w:val="clear" w:color="auto" w:fill="F4F7F8"/>
            <w:tcMar>
              <w:top w:w="80" w:type="dxa"/>
              <w:left w:w="100" w:type="dxa"/>
              <w:bottom w:w="80" w:type="dxa"/>
              <w:right w:w="100" w:type="dxa"/>
            </w:tcMar>
            <w:vAlign w:val="center"/>
          </w:tcPr>
          <w:p w:rsidR="00FD67E1" w:rsidRDefault="00EE0B9A">
            <w:pPr>
              <w:spacing w:after="0"/>
            </w:pPr>
            <w:r>
              <w:rPr>
                <w:sz w:val="16"/>
              </w:rPr>
              <w:t>Intellectual property</w:t>
            </w:r>
          </w:p>
        </w:tc>
        <w:tc>
          <w:tcPr>
            <w:tcW w:w="7488" w:type="dxa"/>
            <w:shd w:val="clear" w:color="auto" w:fill="F4F7F8"/>
            <w:tcMar>
              <w:top w:w="80" w:type="dxa"/>
              <w:left w:w="100" w:type="dxa"/>
              <w:bottom w:w="80" w:type="dxa"/>
              <w:right w:w="100" w:type="dxa"/>
            </w:tcMar>
            <w:vAlign w:val="center"/>
          </w:tcPr>
          <w:p w:rsidR="00FD67E1" w:rsidRDefault="00EE0B9A">
            <w:pPr>
              <w:spacing w:after="0"/>
            </w:pPr>
            <w:r>
              <w:rPr>
                <w:sz w:val="16"/>
              </w:rPr>
              <w:t>All final and working files, raw assets, domains, accounts, data and commissioned usage rights belong to the contracting authority upon payment.</w:t>
            </w:r>
          </w:p>
        </w:tc>
      </w:tr>
      <w:tr w:rsidR="00FD67E1">
        <w:trPr>
          <w:cantSplit/>
          <w:jc w:val="center"/>
        </w:trPr>
        <w:tc>
          <w:tcPr>
            <w:tcW w:w="2160" w:type="dxa"/>
            <w:tcMar>
              <w:top w:w="80" w:type="dxa"/>
              <w:left w:w="100" w:type="dxa"/>
              <w:bottom w:w="80" w:type="dxa"/>
              <w:right w:w="100" w:type="dxa"/>
            </w:tcMar>
            <w:vAlign w:val="center"/>
          </w:tcPr>
          <w:p w:rsidR="00FD67E1" w:rsidRDefault="00EE0B9A">
            <w:pPr>
              <w:spacing w:after="0"/>
            </w:pPr>
            <w:r>
              <w:rPr>
                <w:sz w:val="16"/>
              </w:rPr>
              <w:t>Crisis escalation</w:t>
            </w:r>
          </w:p>
        </w:tc>
        <w:tc>
          <w:tcPr>
            <w:tcW w:w="7488" w:type="dxa"/>
            <w:tcMar>
              <w:top w:w="80" w:type="dxa"/>
              <w:left w:w="100" w:type="dxa"/>
              <w:bottom w:w="80" w:type="dxa"/>
              <w:right w:w="100" w:type="dxa"/>
            </w:tcMar>
            <w:vAlign w:val="center"/>
          </w:tcPr>
          <w:p w:rsidR="00FD67E1" w:rsidRDefault="00EE0B9A">
            <w:pPr>
              <w:spacing w:after="0"/>
            </w:pPr>
            <w:r>
              <w:rPr>
                <w:sz w:val="16"/>
              </w:rPr>
              <w:t>Immediate escalation for misinformation, complaints, political/religious sensitivity, cyber incidents, beneficiary harm or reputational threats. No autonomous public response to a material issue.</w:t>
            </w:r>
          </w:p>
        </w:tc>
      </w:tr>
    </w:tbl>
    <w:p w:rsidR="00FD67E1" w:rsidRDefault="00FD67E1">
      <w:pPr>
        <w:spacing w:after="0"/>
      </w:pPr>
    </w:p>
    <w:p w:rsidR="00FD67E1" w:rsidRDefault="00EE0B9A">
      <w:pPr>
        <w:pStyle w:val="Heading1"/>
      </w:pPr>
      <w:r>
        <w:t>11. Challenges the Agency Must Solve</w:t>
      </w:r>
    </w:p>
    <w:p w:rsidR="00FD67E1" w:rsidRDefault="00EE0B9A">
      <w:pPr>
        <w:pStyle w:val="CompactBullet"/>
      </w:pPr>
      <w:r>
        <w:t>Turn a complex six-entity ecosystem into one simple, differentiated and credible Tharaa story.</w:t>
      </w:r>
    </w:p>
    <w:p w:rsidR="00FD67E1" w:rsidRDefault="00EE0B9A">
      <w:pPr>
        <w:pStyle w:val="CompactBullet"/>
      </w:pPr>
      <w:r>
        <w:t>Create a brand architecture and identity system that gives each entity clarity without fragmenting the master brand.</w:t>
      </w:r>
    </w:p>
    <w:p w:rsidR="00FD67E1" w:rsidRDefault="00EE0B9A">
      <w:pPr>
        <w:pStyle w:val="CompactBullet"/>
      </w:pPr>
      <w:r>
        <w:t>Build and execute a launch and first-year communications platform that drives awareness and generates real participation from entrepreneurs, SMEs, investors, corporates and institutions.</w:t>
      </w:r>
    </w:p>
    <w:p w:rsidR="00FD67E1" w:rsidRDefault="00EE0B9A">
      <w:pPr>
        <w:pStyle w:val="Heading1"/>
      </w:pPr>
      <w:r>
        <w:t>12. Agency Responsibilities and Working Model</w:t>
      </w:r>
    </w:p>
    <w:p w:rsidR="00FD67E1" w:rsidRDefault="00EE0B9A">
      <w:pPr>
        <w:pStyle w:val="CompactBullet"/>
      </w:pPr>
      <w:r>
        <w:t>Appoint one accountable client lead and named senior strategy, Arabic editorial, English editorial, creative, PR, digital, production and performance leads.</w:t>
      </w:r>
    </w:p>
    <w:p w:rsidR="00FD67E1" w:rsidRDefault="00EE0B9A">
      <w:pPr>
        <w:pStyle w:val="CompactBullet"/>
      </w:pPr>
      <w:r>
        <w:t>Conduct work primarily in the UAE and attend Ajman meetings, production, events and stakeholder sessions as required.</w:t>
      </w:r>
    </w:p>
    <w:p w:rsidR="00FD67E1" w:rsidRDefault="00EE0B9A">
      <w:pPr>
        <w:pStyle w:val="CompactBullet"/>
      </w:pPr>
      <w:r>
        <w:t>Maintain a live workplan, decision log, content register, claims/evidence register, risk log and asset library.</w:t>
      </w:r>
    </w:p>
    <w:p w:rsidR="00FD67E1" w:rsidRDefault="00EE0B9A">
      <w:pPr>
        <w:pStyle w:val="CompactBullet"/>
      </w:pPr>
      <w:r>
        <w:t>Provide weekly status reporting during mobilisation and launch, then monthly operational and quarterly strategic reviews.</w:t>
      </w:r>
    </w:p>
    <w:p w:rsidR="00FD67E1" w:rsidRDefault="00EE0B9A">
      <w:pPr>
        <w:pStyle w:val="CompactBullet"/>
      </w:pPr>
      <w:r>
        <w:t>Include two consolidated revision rounds per major deliverable unless otherwise stated; correct agency errors without charge.</w:t>
      </w:r>
    </w:p>
    <w:p w:rsidR="00FD67E1" w:rsidRDefault="00EE0B9A">
      <w:pPr>
        <w:pStyle w:val="CompactBullet"/>
      </w:pPr>
      <w:r>
        <w:t>Provide knowledge transfer, administrator training, source files, credentials and structured close-out documentation.</w:t>
      </w:r>
    </w:p>
    <w:p w:rsidR="00FD67E1" w:rsidRDefault="00EE0B9A">
      <w:pPr>
        <w:pStyle w:val="CompactBullet"/>
      </w:pPr>
      <w:r>
        <w:t>Disclose subcontractors, conflicts of interest, mark-ups, AI use, stock assets, licences and third-party dependencies. AI-generated content may not be published without human review, rights checks and approval.</w:t>
      </w:r>
    </w:p>
    <w:p w:rsidR="00FD67E1" w:rsidRDefault="00EE0B9A">
      <w:r>
        <w:br w:type="page"/>
      </w:r>
    </w:p>
    <w:p w:rsidR="00FD67E1" w:rsidRDefault="00EE0B9A">
      <w:pPr>
        <w:pStyle w:val="Heading1"/>
      </w:pPr>
      <w:r>
        <w:lastRenderedPageBreak/>
        <w:t>13. Eligibility Conditions</w:t>
      </w:r>
    </w:p>
    <w:p w:rsidR="00FD67E1" w:rsidRDefault="00EE0B9A">
      <w:pPr>
        <w:pStyle w:val="CompactBullet"/>
      </w:pPr>
      <w:r>
        <w:t>The bidder must be physically present and operating in the UAE and hold a valid UAE commercial licence covering the proposed activities.</w:t>
      </w:r>
    </w:p>
    <w:p w:rsidR="00FD67E1" w:rsidRDefault="00EE0B9A">
      <w:pPr>
        <w:pStyle w:val="CompactBullet"/>
      </w:pPr>
      <w:r>
        <w:t>The bidder must be registered as a supplier on the Ajman Government Tenders Portal (Tawreed) before the closing date.</w:t>
      </w:r>
    </w:p>
    <w:p w:rsidR="00FD67E1" w:rsidRDefault="00EE0B9A">
      <w:pPr>
        <w:pStyle w:val="CompactBullet"/>
      </w:pPr>
      <w:r>
        <w:t>The successful bidder must provide the bank guarantee required by the tender documents, issued by a UAE-licensed bank and valid for one year from contract signature. A signed undertaking confirming ability to provide it must accompany the bid.</w:t>
      </w:r>
    </w:p>
    <w:p w:rsidR="00FD67E1" w:rsidRDefault="00EE0B9A">
      <w:pPr>
        <w:pStyle w:val="CompactBullet"/>
      </w:pPr>
      <w:r>
        <w:t>Provide company profile, trade licence, ownership details, audited or management financial information if requested, professional indemnity coverage where applicable, and relevant credentials.</w:t>
      </w:r>
    </w:p>
    <w:p w:rsidR="00FD67E1" w:rsidRDefault="00EE0B9A">
      <w:pPr>
        <w:pStyle w:val="CompactBullet"/>
      </w:pPr>
      <w:r>
        <w:t>Demonstrate senior bilingual Arabic/English capability and comparable UAE/GCC work spanning institutional brands, entrepreneurship, investment, government or economic development.</w:t>
      </w:r>
    </w:p>
    <w:p w:rsidR="00FD67E1" w:rsidRDefault="00EE0B9A">
      <w:pPr>
        <w:pStyle w:val="CompactBullet"/>
      </w:pPr>
      <w:r>
        <w:t>Disclose all proposed subcontractors, any actual or potential conflict of interest, and any work for directly competing ecosystems.</w:t>
      </w:r>
    </w:p>
    <w:p w:rsidR="00FD67E1" w:rsidRDefault="00EE0B9A">
      <w:pPr>
        <w:pStyle w:val="CompactBullet"/>
      </w:pPr>
      <w:r>
        <w:t>The contracting authority may verify references, team availability, portfolio authorship, licences and financial capacity.</w:t>
      </w:r>
    </w:p>
    <w:p w:rsidR="00FD67E1" w:rsidRDefault="00EE0B9A">
      <w:pPr>
        <w:pStyle w:val="Heading1"/>
      </w:pPr>
      <w:r>
        <w:t>14. Submission Requirements</w:t>
      </w:r>
    </w:p>
    <w:p w:rsidR="00FD67E1" w:rsidRDefault="00EE0B9A">
      <w:r>
        <w:t>Submit Package 1 as separate technical and financial files. A bidder electing to propose the optional Package 2 must submit two additional standalone files, one technical and one financial, so the optional service can be evaluated and awarded independently.</w:t>
      </w:r>
    </w:p>
    <w:tbl>
      <w:tblPr>
        <w:tblStyle w:val="TableGrid"/>
        <w:tblW w:w="0" w:type="auto"/>
        <w:jc w:val="center"/>
        <w:tblLook w:val="04A0" w:firstRow="1" w:lastRow="0" w:firstColumn="1" w:lastColumn="0" w:noHBand="0" w:noVBand="1"/>
      </w:tblPr>
      <w:tblGrid>
        <w:gridCol w:w="2592"/>
        <w:gridCol w:w="7056"/>
      </w:tblGrid>
      <w:tr w:rsidR="00FD67E1">
        <w:trPr>
          <w:cantSplit/>
          <w:tblHeader/>
          <w:jc w:val="center"/>
        </w:trPr>
        <w:tc>
          <w:tcPr>
            <w:tcW w:w="2592" w:type="dxa"/>
            <w:shd w:val="clear" w:color="auto" w:fill="13283F"/>
            <w:tcMar>
              <w:top w:w="80" w:type="dxa"/>
              <w:left w:w="100" w:type="dxa"/>
              <w:bottom w:w="80" w:type="dxa"/>
              <w:right w:w="100" w:type="dxa"/>
            </w:tcMar>
          </w:tcPr>
          <w:p w:rsidR="00FD67E1" w:rsidRDefault="00EE0B9A">
            <w:r>
              <w:rPr>
                <w:b/>
                <w:color w:val="FFFFFF"/>
                <w:sz w:val="16"/>
              </w:rPr>
              <w:t>File</w:t>
            </w:r>
          </w:p>
        </w:tc>
        <w:tc>
          <w:tcPr>
            <w:tcW w:w="7056" w:type="dxa"/>
            <w:shd w:val="clear" w:color="auto" w:fill="13283F"/>
            <w:tcMar>
              <w:top w:w="80" w:type="dxa"/>
              <w:left w:w="100" w:type="dxa"/>
              <w:bottom w:w="80" w:type="dxa"/>
              <w:right w:w="100" w:type="dxa"/>
            </w:tcMar>
          </w:tcPr>
          <w:p w:rsidR="00FD67E1" w:rsidRDefault="00EE0B9A">
            <w:r>
              <w:rPr>
                <w:b/>
                <w:color w:val="FFFFFF"/>
                <w:sz w:val="16"/>
              </w:rPr>
              <w:t>Required content</w:t>
            </w:r>
          </w:p>
        </w:tc>
      </w:tr>
      <w:tr w:rsidR="00FD67E1">
        <w:trPr>
          <w:cantSplit/>
          <w:jc w:val="center"/>
        </w:trPr>
        <w:tc>
          <w:tcPr>
            <w:tcW w:w="2592" w:type="dxa"/>
            <w:tcMar>
              <w:top w:w="80" w:type="dxa"/>
              <w:left w:w="100" w:type="dxa"/>
              <w:bottom w:w="80" w:type="dxa"/>
              <w:right w:w="100" w:type="dxa"/>
            </w:tcMar>
            <w:vAlign w:val="center"/>
          </w:tcPr>
          <w:p w:rsidR="00FD67E1" w:rsidRDefault="00EE0B9A">
            <w:pPr>
              <w:spacing w:after="0"/>
            </w:pPr>
            <w:r>
              <w:rPr>
                <w:sz w:val="16"/>
              </w:rPr>
              <w:t>Package 1 — Technical</w:t>
            </w:r>
          </w:p>
        </w:tc>
        <w:tc>
          <w:tcPr>
            <w:tcW w:w="7056" w:type="dxa"/>
            <w:tcMar>
              <w:top w:w="80" w:type="dxa"/>
              <w:left w:w="100" w:type="dxa"/>
              <w:bottom w:w="80" w:type="dxa"/>
              <w:right w:w="100" w:type="dxa"/>
            </w:tcMar>
            <w:vAlign w:val="center"/>
          </w:tcPr>
          <w:p w:rsidR="00FD67E1" w:rsidRDefault="00EE0B9A">
            <w:pPr>
              <w:spacing w:after="0"/>
            </w:pPr>
            <w:r>
              <w:rPr>
                <w:sz w:val="16"/>
              </w:rPr>
              <w:t>Executive summary; interpretation; discovery and methodology; brand/identity direction; architecture; bilingual approach; website solution and ownership model; PR/media plan; launch approach; governance; programme; team/CVs; risks; assumptions; value creation proposal; comparable work and three client references.</w:t>
            </w:r>
          </w:p>
        </w:tc>
      </w:tr>
      <w:tr w:rsidR="00FD67E1">
        <w:trPr>
          <w:cantSplit/>
          <w:jc w:val="center"/>
        </w:trPr>
        <w:tc>
          <w:tcPr>
            <w:tcW w:w="2592" w:type="dxa"/>
            <w:shd w:val="clear" w:color="auto" w:fill="F4F7F8"/>
            <w:tcMar>
              <w:top w:w="80" w:type="dxa"/>
              <w:left w:w="100" w:type="dxa"/>
              <w:bottom w:w="80" w:type="dxa"/>
              <w:right w:w="100" w:type="dxa"/>
            </w:tcMar>
            <w:vAlign w:val="center"/>
          </w:tcPr>
          <w:p w:rsidR="00FD67E1" w:rsidRDefault="00EE0B9A">
            <w:pPr>
              <w:spacing w:after="0"/>
            </w:pPr>
            <w:r>
              <w:rPr>
                <w:sz w:val="16"/>
              </w:rPr>
              <w:t>Package 1 — Financial</w:t>
            </w:r>
          </w:p>
        </w:tc>
        <w:tc>
          <w:tcPr>
            <w:tcW w:w="7056" w:type="dxa"/>
            <w:shd w:val="clear" w:color="auto" w:fill="F4F7F8"/>
            <w:tcMar>
              <w:top w:w="80" w:type="dxa"/>
              <w:left w:w="100" w:type="dxa"/>
              <w:bottom w:w="80" w:type="dxa"/>
              <w:right w:w="100" w:type="dxa"/>
            </w:tcMar>
            <w:vAlign w:val="center"/>
          </w:tcPr>
          <w:p w:rsidR="00FD67E1" w:rsidRDefault="00EE0B9A">
            <w:pPr>
              <w:spacing w:after="0"/>
            </w:pPr>
            <w:r>
              <w:rPr>
                <w:sz w:val="16"/>
              </w:rPr>
              <w:t>Itemised fixed and recurring fees by deliverable and phase; third-party costs; licences; usage rights; travel; value-item commercial schedule; optional rates; taxes; payment milestones and validity. No hidden mandatory dependency.</w:t>
            </w:r>
          </w:p>
        </w:tc>
      </w:tr>
      <w:tr w:rsidR="00FD67E1">
        <w:trPr>
          <w:cantSplit/>
          <w:jc w:val="center"/>
        </w:trPr>
        <w:tc>
          <w:tcPr>
            <w:tcW w:w="2592" w:type="dxa"/>
            <w:tcMar>
              <w:top w:w="80" w:type="dxa"/>
              <w:left w:w="100" w:type="dxa"/>
              <w:bottom w:w="80" w:type="dxa"/>
              <w:right w:w="100" w:type="dxa"/>
            </w:tcMar>
            <w:vAlign w:val="center"/>
          </w:tcPr>
          <w:p w:rsidR="00FD67E1" w:rsidRDefault="00EE0B9A">
            <w:pPr>
              <w:spacing w:after="0"/>
            </w:pPr>
            <w:r>
              <w:rPr>
                <w:sz w:val="16"/>
              </w:rPr>
              <w:t>Optional Package 2 — Technical</w:t>
            </w:r>
          </w:p>
        </w:tc>
        <w:tc>
          <w:tcPr>
            <w:tcW w:w="7056" w:type="dxa"/>
            <w:tcMar>
              <w:top w:w="80" w:type="dxa"/>
              <w:left w:w="100" w:type="dxa"/>
              <w:bottom w:w="80" w:type="dxa"/>
              <w:right w:w="100" w:type="dxa"/>
            </w:tcMar>
            <w:vAlign w:val="center"/>
          </w:tcPr>
          <w:p w:rsidR="00FD67E1" w:rsidRDefault="00EE0B9A">
            <w:pPr>
              <w:spacing w:after="0"/>
            </w:pPr>
            <w:r>
              <w:rPr>
                <w:sz w:val="16"/>
              </w:rPr>
              <w:t>Channel/account architecture; strategy; editorial and content approach; sample month; production model; community and crisis workflow; paid-media method; reporting; programme; team/CVs; value creation proposal; assumptions and comparable work.</w:t>
            </w:r>
          </w:p>
        </w:tc>
      </w:tr>
      <w:tr w:rsidR="00FD67E1">
        <w:trPr>
          <w:cantSplit/>
          <w:jc w:val="center"/>
        </w:trPr>
        <w:tc>
          <w:tcPr>
            <w:tcW w:w="2592" w:type="dxa"/>
            <w:shd w:val="clear" w:color="auto" w:fill="F4F7F8"/>
            <w:tcMar>
              <w:top w:w="80" w:type="dxa"/>
              <w:left w:w="100" w:type="dxa"/>
              <w:bottom w:w="80" w:type="dxa"/>
              <w:right w:w="100" w:type="dxa"/>
            </w:tcMar>
            <w:vAlign w:val="center"/>
          </w:tcPr>
          <w:p w:rsidR="00FD67E1" w:rsidRDefault="00EE0B9A">
            <w:pPr>
              <w:spacing w:after="0"/>
            </w:pPr>
            <w:r>
              <w:rPr>
                <w:sz w:val="16"/>
              </w:rPr>
              <w:t>Optional Package 2 — Financial</w:t>
            </w:r>
          </w:p>
        </w:tc>
        <w:tc>
          <w:tcPr>
            <w:tcW w:w="7056" w:type="dxa"/>
            <w:shd w:val="clear" w:color="auto" w:fill="F4F7F8"/>
            <w:tcMar>
              <w:top w:w="80" w:type="dxa"/>
              <w:left w:w="100" w:type="dxa"/>
              <w:bottom w:w="80" w:type="dxa"/>
              <w:right w:w="100" w:type="dxa"/>
            </w:tcMar>
            <w:vAlign w:val="center"/>
          </w:tcPr>
          <w:p w:rsidR="00FD67E1" w:rsidRDefault="00EE0B9A">
            <w:pPr>
              <w:spacing w:after="0"/>
            </w:pPr>
            <w:r>
              <w:rPr>
                <w:sz w:val="16"/>
              </w:rPr>
              <w:t>Separate pricing for Scenarios A and B; itemised monthly fee, production, event coverage, paid-media management, value-item commercial schedule, optional rates, taxes, payment schedule and validity.</w:t>
            </w:r>
          </w:p>
        </w:tc>
      </w:tr>
    </w:tbl>
    <w:p w:rsidR="00FD67E1" w:rsidRDefault="00FD67E1">
      <w:pPr>
        <w:spacing w:after="0"/>
      </w:pPr>
    </w:p>
    <w:p w:rsidR="00FD67E1" w:rsidRDefault="00EE0B9A">
      <w:pPr>
        <w:pStyle w:val="Heading2"/>
      </w:pPr>
      <w:r>
        <w:t>Submission rules</w:t>
      </w:r>
    </w:p>
    <w:p w:rsidR="00FD67E1" w:rsidRDefault="00EE0B9A">
      <w:pPr>
        <w:pStyle w:val="CompactBullet"/>
      </w:pPr>
      <w:r>
        <w:t>Label every file with bidder name, package and “Technical” or “Financial”.</w:t>
      </w:r>
    </w:p>
    <w:p w:rsidR="00FD67E1" w:rsidRDefault="00EE0B9A">
      <w:pPr>
        <w:pStyle w:val="CompactBullet"/>
      </w:pPr>
      <w:r>
        <w:t>Do not include pricing, rates, “free of charge” statements or financial figures in technical files; breach may result in disqualification. Use matching value-item references in the technical and financial files.</w:t>
      </w:r>
    </w:p>
    <w:p w:rsidR="00FD67E1" w:rsidRDefault="00EE0B9A">
      <w:pPr>
        <w:pStyle w:val="CompactBullet"/>
      </w:pPr>
      <w:r>
        <w:t>Each file must be complete and independently evaluable. Package 1 must not depend on award of the optional Package 2.</w:t>
      </w:r>
    </w:p>
    <w:p w:rsidR="00FD67E1" w:rsidRDefault="00EE0B9A">
      <w:pPr>
        <w:pStyle w:val="CompactBullet"/>
      </w:pPr>
      <w:r>
        <w:t>Bidders may submit Package 1 only, optional Package 2 only, or both, subject to the eligibility and submission rules.</w:t>
      </w:r>
    </w:p>
    <w:p w:rsidR="00FD67E1" w:rsidRDefault="00EE0B9A">
      <w:pPr>
        <w:pStyle w:val="CompactBullet"/>
      </w:pPr>
      <w:r>
        <w:t>State every exclusion, dependency, client responsibility and assumption. Silence will be treated as inclusion where reasonably necessary to deliver the stated outcome.</w:t>
      </w:r>
    </w:p>
    <w:p w:rsidR="00FD67E1" w:rsidRDefault="00EE0B9A">
      <w:pPr>
        <w:pStyle w:val="CompactBullet"/>
      </w:pPr>
      <w:r>
        <w:t>Technical proposals are evaluated first; financial proposals are opened only for bidders meeting the relevant package technical threshold.</w:t>
      </w:r>
    </w:p>
    <w:p w:rsidR="00FD67E1" w:rsidRDefault="00EE0B9A">
      <w:pPr>
        <w:pStyle w:val="CompactBullet"/>
      </w:pPr>
      <w:r>
        <w:t>Proposals, case studies and sample work must respect confidentiality and identify the bidder’s actual role.</w:t>
      </w:r>
    </w:p>
    <w:p w:rsidR="00FD67E1" w:rsidRDefault="00EE0B9A">
      <w:pPr>
        <w:pStyle w:val="Heading1"/>
      </w:pPr>
      <w:r>
        <w:t>15. Technical Evaluation Framework</w:t>
      </w:r>
    </w:p>
    <w:tbl>
      <w:tblPr>
        <w:tblStyle w:val="TableGrid"/>
        <w:tblW w:w="0" w:type="auto"/>
        <w:jc w:val="center"/>
        <w:tblLook w:val="04A0" w:firstRow="1" w:lastRow="0" w:firstColumn="1" w:lastColumn="0" w:noHBand="0" w:noVBand="1"/>
      </w:tblPr>
      <w:tblGrid>
        <w:gridCol w:w="7920"/>
        <w:gridCol w:w="1728"/>
      </w:tblGrid>
      <w:tr w:rsidR="00FD67E1">
        <w:trPr>
          <w:cantSplit/>
          <w:tblHeader/>
          <w:jc w:val="center"/>
        </w:trPr>
        <w:tc>
          <w:tcPr>
            <w:tcW w:w="7920" w:type="dxa"/>
            <w:shd w:val="clear" w:color="auto" w:fill="13283F"/>
            <w:tcMar>
              <w:top w:w="80" w:type="dxa"/>
              <w:left w:w="100" w:type="dxa"/>
              <w:bottom w:w="80" w:type="dxa"/>
              <w:right w:w="100" w:type="dxa"/>
            </w:tcMar>
          </w:tcPr>
          <w:p w:rsidR="00FD67E1" w:rsidRDefault="00EE0B9A">
            <w:r>
              <w:rPr>
                <w:b/>
                <w:color w:val="FFFFFF"/>
                <w:sz w:val="16"/>
              </w:rPr>
              <w:t>Criterion</w:t>
            </w:r>
          </w:p>
        </w:tc>
        <w:tc>
          <w:tcPr>
            <w:tcW w:w="1728" w:type="dxa"/>
            <w:shd w:val="clear" w:color="auto" w:fill="13283F"/>
            <w:tcMar>
              <w:top w:w="80" w:type="dxa"/>
              <w:left w:w="100" w:type="dxa"/>
              <w:bottom w:w="80" w:type="dxa"/>
              <w:right w:w="100" w:type="dxa"/>
            </w:tcMar>
          </w:tcPr>
          <w:p w:rsidR="00FD67E1" w:rsidRDefault="00EE0B9A">
            <w:r>
              <w:rPr>
                <w:b/>
                <w:color w:val="FFFFFF"/>
                <w:sz w:val="16"/>
              </w:rPr>
              <w:t>Weight</w:t>
            </w:r>
          </w:p>
        </w:tc>
      </w:tr>
      <w:tr w:rsidR="00FD67E1">
        <w:trPr>
          <w:cantSplit/>
          <w:jc w:val="center"/>
        </w:trPr>
        <w:tc>
          <w:tcPr>
            <w:tcW w:w="7920" w:type="dxa"/>
            <w:tcMar>
              <w:top w:w="80" w:type="dxa"/>
              <w:left w:w="100" w:type="dxa"/>
              <w:bottom w:w="80" w:type="dxa"/>
              <w:right w:w="100" w:type="dxa"/>
            </w:tcMar>
            <w:vAlign w:val="center"/>
          </w:tcPr>
          <w:p w:rsidR="00FD67E1" w:rsidRDefault="00EE0B9A">
            <w:pPr>
              <w:spacing w:after="0"/>
            </w:pPr>
            <w:r>
              <w:rPr>
                <w:sz w:val="16"/>
              </w:rPr>
              <w:t>Strategic understanding of Tharaa and the six-entity model</w:t>
            </w:r>
          </w:p>
        </w:tc>
        <w:tc>
          <w:tcPr>
            <w:tcW w:w="1728" w:type="dxa"/>
            <w:tcMar>
              <w:top w:w="80" w:type="dxa"/>
              <w:left w:w="100" w:type="dxa"/>
              <w:bottom w:w="80" w:type="dxa"/>
              <w:right w:w="100" w:type="dxa"/>
            </w:tcMar>
            <w:vAlign w:val="center"/>
          </w:tcPr>
          <w:p w:rsidR="00FD67E1" w:rsidRDefault="00EE0B9A">
            <w:pPr>
              <w:spacing w:after="0"/>
            </w:pPr>
            <w:r>
              <w:rPr>
                <w:sz w:val="16"/>
              </w:rPr>
              <w:t>20%</w:t>
            </w:r>
          </w:p>
        </w:tc>
      </w:tr>
      <w:tr w:rsidR="00FD67E1">
        <w:trPr>
          <w:cantSplit/>
          <w:jc w:val="center"/>
        </w:trPr>
        <w:tc>
          <w:tcPr>
            <w:tcW w:w="7920" w:type="dxa"/>
            <w:shd w:val="clear" w:color="auto" w:fill="F4F7F8"/>
            <w:tcMar>
              <w:top w:w="80" w:type="dxa"/>
              <w:left w:w="100" w:type="dxa"/>
              <w:bottom w:w="80" w:type="dxa"/>
              <w:right w:w="100" w:type="dxa"/>
            </w:tcMar>
            <w:vAlign w:val="center"/>
          </w:tcPr>
          <w:p w:rsidR="00FD67E1" w:rsidRDefault="00EE0B9A">
            <w:pPr>
              <w:spacing w:after="0"/>
            </w:pPr>
            <w:r>
              <w:rPr>
                <w:sz w:val="16"/>
              </w:rPr>
              <w:lastRenderedPageBreak/>
              <w:t>Quality, originality and practicality of methodology and proposed solution</w:t>
            </w:r>
          </w:p>
        </w:tc>
        <w:tc>
          <w:tcPr>
            <w:tcW w:w="1728" w:type="dxa"/>
            <w:shd w:val="clear" w:color="auto" w:fill="F4F7F8"/>
            <w:tcMar>
              <w:top w:w="80" w:type="dxa"/>
              <w:left w:w="100" w:type="dxa"/>
              <w:bottom w:w="80" w:type="dxa"/>
              <w:right w:w="100" w:type="dxa"/>
            </w:tcMar>
            <w:vAlign w:val="center"/>
          </w:tcPr>
          <w:p w:rsidR="00FD67E1" w:rsidRDefault="00EE0B9A">
            <w:pPr>
              <w:spacing w:after="0"/>
            </w:pPr>
            <w:r>
              <w:rPr>
                <w:sz w:val="16"/>
              </w:rPr>
              <w:t>15%</w:t>
            </w:r>
          </w:p>
        </w:tc>
      </w:tr>
      <w:tr w:rsidR="00FD67E1">
        <w:trPr>
          <w:cantSplit/>
          <w:jc w:val="center"/>
        </w:trPr>
        <w:tc>
          <w:tcPr>
            <w:tcW w:w="7920" w:type="dxa"/>
            <w:tcMar>
              <w:top w:w="80" w:type="dxa"/>
              <w:left w:w="100" w:type="dxa"/>
              <w:bottom w:w="80" w:type="dxa"/>
              <w:right w:w="100" w:type="dxa"/>
            </w:tcMar>
            <w:vAlign w:val="center"/>
          </w:tcPr>
          <w:p w:rsidR="00FD67E1" w:rsidRDefault="00EE0B9A">
            <w:pPr>
              <w:spacing w:after="0"/>
            </w:pPr>
            <w:r>
              <w:rPr>
                <w:sz w:val="16"/>
              </w:rPr>
              <w:t>Relevant UAE/GCC experience and demonstrated results</w:t>
            </w:r>
          </w:p>
        </w:tc>
        <w:tc>
          <w:tcPr>
            <w:tcW w:w="1728" w:type="dxa"/>
            <w:tcMar>
              <w:top w:w="80" w:type="dxa"/>
              <w:left w:w="100" w:type="dxa"/>
              <w:bottom w:w="80" w:type="dxa"/>
              <w:right w:w="100" w:type="dxa"/>
            </w:tcMar>
            <w:vAlign w:val="center"/>
          </w:tcPr>
          <w:p w:rsidR="00FD67E1" w:rsidRDefault="00EE0B9A">
            <w:pPr>
              <w:spacing w:after="0"/>
            </w:pPr>
            <w:r>
              <w:rPr>
                <w:sz w:val="16"/>
              </w:rPr>
              <w:t>15%</w:t>
            </w:r>
          </w:p>
        </w:tc>
      </w:tr>
      <w:tr w:rsidR="00FD67E1">
        <w:trPr>
          <w:cantSplit/>
          <w:jc w:val="center"/>
        </w:trPr>
        <w:tc>
          <w:tcPr>
            <w:tcW w:w="7920" w:type="dxa"/>
            <w:shd w:val="clear" w:color="auto" w:fill="F4F7F8"/>
            <w:tcMar>
              <w:top w:w="80" w:type="dxa"/>
              <w:left w:w="100" w:type="dxa"/>
              <w:bottom w:w="80" w:type="dxa"/>
              <w:right w:w="100" w:type="dxa"/>
            </w:tcMar>
            <w:vAlign w:val="center"/>
          </w:tcPr>
          <w:p w:rsidR="00FD67E1" w:rsidRDefault="00EE0B9A">
            <w:pPr>
              <w:spacing w:after="0"/>
            </w:pPr>
            <w:r>
              <w:rPr>
                <w:sz w:val="16"/>
              </w:rPr>
              <w:t>Bilingual Arabic/English strategy, writing and creative capability</w:t>
            </w:r>
          </w:p>
        </w:tc>
        <w:tc>
          <w:tcPr>
            <w:tcW w:w="1728" w:type="dxa"/>
            <w:shd w:val="clear" w:color="auto" w:fill="F4F7F8"/>
            <w:tcMar>
              <w:top w:w="80" w:type="dxa"/>
              <w:left w:w="100" w:type="dxa"/>
              <w:bottom w:w="80" w:type="dxa"/>
              <w:right w:w="100" w:type="dxa"/>
            </w:tcMar>
            <w:vAlign w:val="center"/>
          </w:tcPr>
          <w:p w:rsidR="00FD67E1" w:rsidRDefault="00EE0B9A">
            <w:pPr>
              <w:spacing w:after="0"/>
            </w:pPr>
            <w:r>
              <w:rPr>
                <w:sz w:val="16"/>
              </w:rPr>
              <w:t>15%</w:t>
            </w:r>
          </w:p>
        </w:tc>
      </w:tr>
      <w:tr w:rsidR="00FD67E1">
        <w:trPr>
          <w:cantSplit/>
          <w:jc w:val="center"/>
        </w:trPr>
        <w:tc>
          <w:tcPr>
            <w:tcW w:w="7920" w:type="dxa"/>
            <w:tcMar>
              <w:top w:w="80" w:type="dxa"/>
              <w:left w:w="100" w:type="dxa"/>
              <w:bottom w:w="80" w:type="dxa"/>
              <w:right w:w="100" w:type="dxa"/>
            </w:tcMar>
            <w:vAlign w:val="center"/>
          </w:tcPr>
          <w:p w:rsidR="00FD67E1" w:rsidRDefault="00EE0B9A">
            <w:pPr>
              <w:spacing w:after="0"/>
            </w:pPr>
            <w:r>
              <w:rPr>
                <w:sz w:val="16"/>
              </w:rPr>
              <w:t>Named senior team, availability and governance model</w:t>
            </w:r>
          </w:p>
        </w:tc>
        <w:tc>
          <w:tcPr>
            <w:tcW w:w="1728" w:type="dxa"/>
            <w:tcMar>
              <w:top w:w="80" w:type="dxa"/>
              <w:left w:w="100" w:type="dxa"/>
              <w:bottom w:w="80" w:type="dxa"/>
              <w:right w:w="100" w:type="dxa"/>
            </w:tcMar>
            <w:vAlign w:val="center"/>
          </w:tcPr>
          <w:p w:rsidR="00FD67E1" w:rsidRDefault="00EE0B9A">
            <w:pPr>
              <w:spacing w:after="0"/>
            </w:pPr>
            <w:r>
              <w:rPr>
                <w:sz w:val="16"/>
              </w:rPr>
              <w:t>15%</w:t>
            </w:r>
          </w:p>
        </w:tc>
      </w:tr>
      <w:tr w:rsidR="00FD67E1">
        <w:trPr>
          <w:cantSplit/>
          <w:jc w:val="center"/>
        </w:trPr>
        <w:tc>
          <w:tcPr>
            <w:tcW w:w="7920" w:type="dxa"/>
            <w:shd w:val="clear" w:color="auto" w:fill="F4F7F8"/>
            <w:tcMar>
              <w:top w:w="80" w:type="dxa"/>
              <w:left w:w="100" w:type="dxa"/>
              <w:bottom w:w="80" w:type="dxa"/>
              <w:right w:w="100" w:type="dxa"/>
            </w:tcMar>
            <w:vAlign w:val="center"/>
          </w:tcPr>
          <w:p w:rsidR="00FD67E1" w:rsidRDefault="00EE0B9A">
            <w:pPr>
              <w:spacing w:after="0"/>
            </w:pPr>
            <w:r>
              <w:rPr>
                <w:sz w:val="16"/>
              </w:rPr>
              <w:t>Delivery plan, risk management, scalability and knowledge transfer</w:t>
            </w:r>
          </w:p>
        </w:tc>
        <w:tc>
          <w:tcPr>
            <w:tcW w:w="1728" w:type="dxa"/>
            <w:shd w:val="clear" w:color="auto" w:fill="F4F7F8"/>
            <w:tcMar>
              <w:top w:w="80" w:type="dxa"/>
              <w:left w:w="100" w:type="dxa"/>
              <w:bottom w:w="80" w:type="dxa"/>
              <w:right w:w="100" w:type="dxa"/>
            </w:tcMar>
            <w:vAlign w:val="center"/>
          </w:tcPr>
          <w:p w:rsidR="00FD67E1" w:rsidRDefault="00EE0B9A">
            <w:pPr>
              <w:spacing w:after="0"/>
            </w:pPr>
            <w:r>
              <w:rPr>
                <w:sz w:val="16"/>
              </w:rPr>
              <w:t>10%</w:t>
            </w:r>
          </w:p>
        </w:tc>
      </w:tr>
      <w:tr w:rsidR="00FD67E1">
        <w:trPr>
          <w:cantSplit/>
          <w:jc w:val="center"/>
        </w:trPr>
        <w:tc>
          <w:tcPr>
            <w:tcW w:w="7920" w:type="dxa"/>
            <w:tcMar>
              <w:top w:w="80" w:type="dxa"/>
              <w:left w:w="100" w:type="dxa"/>
              <w:bottom w:w="80" w:type="dxa"/>
              <w:right w:w="100" w:type="dxa"/>
            </w:tcMar>
            <w:vAlign w:val="center"/>
          </w:tcPr>
          <w:p w:rsidR="00FD67E1" w:rsidRDefault="00EE0B9A">
            <w:pPr>
              <w:spacing w:after="0"/>
            </w:pPr>
            <w:r>
              <w:rPr>
                <w:sz w:val="16"/>
              </w:rPr>
              <w:t>Credible, measurable value creation beyond minimum compliance</w:t>
            </w:r>
          </w:p>
        </w:tc>
        <w:tc>
          <w:tcPr>
            <w:tcW w:w="1728" w:type="dxa"/>
            <w:tcMar>
              <w:top w:w="80" w:type="dxa"/>
              <w:left w:w="100" w:type="dxa"/>
              <w:bottom w:w="80" w:type="dxa"/>
              <w:right w:w="100" w:type="dxa"/>
            </w:tcMar>
            <w:vAlign w:val="center"/>
          </w:tcPr>
          <w:p w:rsidR="00FD67E1" w:rsidRDefault="00EE0B9A">
            <w:pPr>
              <w:spacing w:after="0"/>
            </w:pPr>
            <w:r>
              <w:rPr>
                <w:sz w:val="16"/>
              </w:rPr>
              <w:t>5%</w:t>
            </w:r>
          </w:p>
        </w:tc>
      </w:tr>
      <w:tr w:rsidR="00FD67E1">
        <w:trPr>
          <w:cantSplit/>
          <w:jc w:val="center"/>
        </w:trPr>
        <w:tc>
          <w:tcPr>
            <w:tcW w:w="7920" w:type="dxa"/>
            <w:shd w:val="clear" w:color="auto" w:fill="F4F7F8"/>
            <w:tcMar>
              <w:top w:w="80" w:type="dxa"/>
              <w:left w:w="100" w:type="dxa"/>
              <w:bottom w:w="80" w:type="dxa"/>
              <w:right w:w="100" w:type="dxa"/>
            </w:tcMar>
            <w:vAlign w:val="center"/>
          </w:tcPr>
          <w:p w:rsidR="00FD67E1" w:rsidRDefault="00EE0B9A">
            <w:pPr>
              <w:spacing w:after="0"/>
            </w:pPr>
            <w:r>
              <w:rPr>
                <w:sz w:val="16"/>
              </w:rPr>
              <w:t>Presentation and response to clarification/pitch requirements</w:t>
            </w:r>
          </w:p>
        </w:tc>
        <w:tc>
          <w:tcPr>
            <w:tcW w:w="1728" w:type="dxa"/>
            <w:shd w:val="clear" w:color="auto" w:fill="F4F7F8"/>
            <w:tcMar>
              <w:top w:w="80" w:type="dxa"/>
              <w:left w:w="100" w:type="dxa"/>
              <w:bottom w:w="80" w:type="dxa"/>
              <w:right w:w="100" w:type="dxa"/>
            </w:tcMar>
            <w:vAlign w:val="center"/>
          </w:tcPr>
          <w:p w:rsidR="00FD67E1" w:rsidRDefault="00EE0B9A">
            <w:pPr>
              <w:spacing w:after="0"/>
            </w:pPr>
            <w:r>
              <w:rPr>
                <w:sz w:val="16"/>
              </w:rPr>
              <w:t>5%</w:t>
            </w:r>
          </w:p>
        </w:tc>
      </w:tr>
    </w:tbl>
    <w:p w:rsidR="00FD67E1" w:rsidRDefault="00FD67E1">
      <w:pPr>
        <w:spacing w:after="0"/>
      </w:pPr>
    </w:p>
    <w:p w:rsidR="00FD67E1" w:rsidRDefault="00EE0B9A">
      <w:r>
        <w:t>Minimum technical threshold: 70% for each package. Package 1 and optional Package 2 will be evaluated and ranked separately. Package 2 participation or non-participation has no effect on the Package 1 score. Value creation is scored on relevance, evidence, feasibility, measurable benefit, transferability and absence of hidden dependency—not on the number of ideas proposed. The contracting authority may adjust the commercial evaluation formula in the formal tender documents; those documents prevail in case o</w:t>
      </w:r>
      <w:r>
        <w:t>f conflict.</w:t>
      </w:r>
    </w:p>
    <w:p w:rsidR="00FD67E1" w:rsidRDefault="00EE0B9A">
      <w:pPr>
        <w:pStyle w:val="Heading1"/>
      </w:pPr>
      <w:r>
        <w:t>16. Indicative Delivery Phases</w:t>
      </w:r>
    </w:p>
    <w:tbl>
      <w:tblPr>
        <w:tblStyle w:val="TableGrid"/>
        <w:tblW w:w="0" w:type="auto"/>
        <w:jc w:val="center"/>
        <w:tblLook w:val="04A0" w:firstRow="1" w:lastRow="0" w:firstColumn="1" w:lastColumn="0" w:noHBand="0" w:noVBand="1"/>
      </w:tblPr>
      <w:tblGrid>
        <w:gridCol w:w="2304"/>
        <w:gridCol w:w="1872"/>
        <w:gridCol w:w="5760"/>
      </w:tblGrid>
      <w:tr w:rsidR="00FD67E1">
        <w:trPr>
          <w:cantSplit/>
          <w:tblHeader/>
          <w:jc w:val="center"/>
        </w:trPr>
        <w:tc>
          <w:tcPr>
            <w:tcW w:w="2304" w:type="dxa"/>
            <w:shd w:val="clear" w:color="auto" w:fill="13283F"/>
            <w:tcMar>
              <w:top w:w="80" w:type="dxa"/>
              <w:left w:w="100" w:type="dxa"/>
              <w:bottom w:w="80" w:type="dxa"/>
              <w:right w:w="100" w:type="dxa"/>
            </w:tcMar>
          </w:tcPr>
          <w:p w:rsidR="00FD67E1" w:rsidRDefault="00EE0B9A">
            <w:r>
              <w:rPr>
                <w:b/>
                <w:color w:val="FFFFFF"/>
                <w:sz w:val="16"/>
              </w:rPr>
              <w:t>Phase</w:t>
            </w:r>
          </w:p>
        </w:tc>
        <w:tc>
          <w:tcPr>
            <w:tcW w:w="1872" w:type="dxa"/>
            <w:shd w:val="clear" w:color="auto" w:fill="13283F"/>
            <w:tcMar>
              <w:top w:w="80" w:type="dxa"/>
              <w:left w:w="100" w:type="dxa"/>
              <w:bottom w:w="80" w:type="dxa"/>
              <w:right w:w="100" w:type="dxa"/>
            </w:tcMar>
          </w:tcPr>
          <w:p w:rsidR="00FD67E1" w:rsidRDefault="00EE0B9A">
            <w:r>
              <w:rPr>
                <w:b/>
                <w:color w:val="FFFFFF"/>
                <w:sz w:val="16"/>
              </w:rPr>
              <w:t>Indicative timing</w:t>
            </w:r>
          </w:p>
        </w:tc>
        <w:tc>
          <w:tcPr>
            <w:tcW w:w="5760" w:type="dxa"/>
            <w:shd w:val="clear" w:color="auto" w:fill="13283F"/>
            <w:tcMar>
              <w:top w:w="80" w:type="dxa"/>
              <w:left w:w="100" w:type="dxa"/>
              <w:bottom w:w="80" w:type="dxa"/>
              <w:right w:w="100" w:type="dxa"/>
            </w:tcMar>
          </w:tcPr>
          <w:p w:rsidR="00FD67E1" w:rsidRDefault="00EE0B9A">
            <w:r>
              <w:rPr>
                <w:b/>
                <w:color w:val="FFFFFF"/>
                <w:sz w:val="16"/>
              </w:rPr>
              <w:t>Core outputs</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1. Mobilisation and discovery</w:t>
            </w:r>
          </w:p>
        </w:tc>
        <w:tc>
          <w:tcPr>
            <w:tcW w:w="1872" w:type="dxa"/>
            <w:tcMar>
              <w:top w:w="80" w:type="dxa"/>
              <w:left w:w="100" w:type="dxa"/>
              <w:bottom w:w="80" w:type="dxa"/>
              <w:right w:w="100" w:type="dxa"/>
            </w:tcMar>
            <w:vAlign w:val="center"/>
          </w:tcPr>
          <w:p w:rsidR="00FD67E1" w:rsidRDefault="00EE0B9A">
            <w:pPr>
              <w:spacing w:after="0"/>
            </w:pPr>
            <w:r>
              <w:rPr>
                <w:sz w:val="16"/>
              </w:rPr>
              <w:t>Weeks 1–3</w:t>
            </w:r>
          </w:p>
        </w:tc>
        <w:tc>
          <w:tcPr>
            <w:tcW w:w="5760" w:type="dxa"/>
            <w:tcMar>
              <w:top w:w="80" w:type="dxa"/>
              <w:left w:w="100" w:type="dxa"/>
              <w:bottom w:w="80" w:type="dxa"/>
              <w:right w:w="100" w:type="dxa"/>
            </w:tcMar>
            <w:vAlign w:val="center"/>
          </w:tcPr>
          <w:p w:rsidR="00FD67E1" w:rsidRDefault="00EE0B9A">
            <w:pPr>
              <w:spacing w:after="0"/>
            </w:pPr>
            <w:r>
              <w:rPr>
                <w:sz w:val="16"/>
              </w:rPr>
              <w:t>Governance, interviews, research, audit, baseline and confirmed workplan.</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2. Strategy and architecture</w:t>
            </w:r>
          </w:p>
        </w:tc>
        <w:tc>
          <w:tcPr>
            <w:tcW w:w="1872" w:type="dxa"/>
            <w:shd w:val="clear" w:color="auto" w:fill="F4F7F8"/>
            <w:tcMar>
              <w:top w:w="80" w:type="dxa"/>
              <w:left w:w="100" w:type="dxa"/>
              <w:bottom w:w="80" w:type="dxa"/>
              <w:right w:w="100" w:type="dxa"/>
            </w:tcMar>
            <w:vAlign w:val="center"/>
          </w:tcPr>
          <w:p w:rsidR="00FD67E1" w:rsidRDefault="00EE0B9A">
            <w:pPr>
              <w:spacing w:after="0"/>
            </w:pPr>
            <w:r>
              <w:rPr>
                <w:sz w:val="16"/>
              </w:rPr>
              <w:t>Weeks 3–7</w:t>
            </w:r>
          </w:p>
        </w:tc>
        <w:tc>
          <w:tcPr>
            <w:tcW w:w="5760" w:type="dxa"/>
            <w:shd w:val="clear" w:color="auto" w:fill="F4F7F8"/>
            <w:tcMar>
              <w:top w:w="80" w:type="dxa"/>
              <w:left w:w="100" w:type="dxa"/>
              <w:bottom w:w="80" w:type="dxa"/>
              <w:right w:w="100" w:type="dxa"/>
            </w:tcMar>
            <w:vAlign w:val="center"/>
          </w:tcPr>
          <w:p w:rsidR="00FD67E1" w:rsidRDefault="00EE0B9A">
            <w:pPr>
              <w:spacing w:after="0"/>
            </w:pPr>
            <w:r>
              <w:rPr>
                <w:sz w:val="16"/>
              </w:rPr>
              <w:t>Brand strategy, messages, architecture, naming and channel model.</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3. Identity and experience</w:t>
            </w:r>
          </w:p>
        </w:tc>
        <w:tc>
          <w:tcPr>
            <w:tcW w:w="1872" w:type="dxa"/>
            <w:tcMar>
              <w:top w:w="80" w:type="dxa"/>
              <w:left w:w="100" w:type="dxa"/>
              <w:bottom w:w="80" w:type="dxa"/>
              <w:right w:w="100" w:type="dxa"/>
            </w:tcMar>
            <w:vAlign w:val="center"/>
          </w:tcPr>
          <w:p w:rsidR="00FD67E1" w:rsidRDefault="00EE0B9A">
            <w:pPr>
              <w:spacing w:after="0"/>
            </w:pPr>
            <w:r>
              <w:rPr>
                <w:sz w:val="16"/>
              </w:rPr>
              <w:t>Weeks 6–12</w:t>
            </w:r>
          </w:p>
        </w:tc>
        <w:tc>
          <w:tcPr>
            <w:tcW w:w="5760" w:type="dxa"/>
            <w:tcMar>
              <w:top w:w="80" w:type="dxa"/>
              <w:left w:w="100" w:type="dxa"/>
              <w:bottom w:w="80" w:type="dxa"/>
              <w:right w:w="100" w:type="dxa"/>
            </w:tcMar>
            <w:vAlign w:val="center"/>
          </w:tcPr>
          <w:p w:rsidR="00FD67E1" w:rsidRDefault="00EE0B9A">
            <w:pPr>
              <w:spacing w:after="0"/>
            </w:pPr>
            <w:r>
              <w:rPr>
                <w:sz w:val="16"/>
              </w:rPr>
              <w:t>Visual system, guidelines, profiles, website UX/UI and templates.</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4. Build and launch readiness</w:t>
            </w:r>
          </w:p>
        </w:tc>
        <w:tc>
          <w:tcPr>
            <w:tcW w:w="1872" w:type="dxa"/>
            <w:shd w:val="clear" w:color="auto" w:fill="F4F7F8"/>
            <w:tcMar>
              <w:top w:w="80" w:type="dxa"/>
              <w:left w:w="100" w:type="dxa"/>
              <w:bottom w:w="80" w:type="dxa"/>
              <w:right w:w="100" w:type="dxa"/>
            </w:tcMar>
            <w:vAlign w:val="center"/>
          </w:tcPr>
          <w:p w:rsidR="00FD67E1" w:rsidRDefault="00EE0B9A">
            <w:pPr>
              <w:spacing w:after="0"/>
            </w:pPr>
            <w:r>
              <w:rPr>
                <w:sz w:val="16"/>
              </w:rPr>
              <w:t>Weeks 9–16</w:t>
            </w:r>
          </w:p>
        </w:tc>
        <w:tc>
          <w:tcPr>
            <w:tcW w:w="5760" w:type="dxa"/>
            <w:shd w:val="clear" w:color="auto" w:fill="F4F7F8"/>
            <w:tcMar>
              <w:top w:w="80" w:type="dxa"/>
              <w:left w:w="100" w:type="dxa"/>
              <w:bottom w:w="80" w:type="dxa"/>
              <w:right w:w="100" w:type="dxa"/>
            </w:tcMar>
            <w:vAlign w:val="center"/>
          </w:tcPr>
          <w:p w:rsidR="00FD67E1" w:rsidRDefault="00EE0B9A">
            <w:pPr>
              <w:spacing w:after="0"/>
            </w:pPr>
            <w:r>
              <w:rPr>
                <w:sz w:val="16"/>
              </w:rPr>
              <w:t>Website build, launch campaign, content bank, press office, crisis readiness and training.</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5. Launch and optimisation</w:t>
            </w:r>
          </w:p>
        </w:tc>
        <w:tc>
          <w:tcPr>
            <w:tcW w:w="1872" w:type="dxa"/>
            <w:tcMar>
              <w:top w:w="80" w:type="dxa"/>
              <w:left w:w="100" w:type="dxa"/>
              <w:bottom w:w="80" w:type="dxa"/>
              <w:right w:w="100" w:type="dxa"/>
            </w:tcMar>
            <w:vAlign w:val="center"/>
          </w:tcPr>
          <w:p w:rsidR="00FD67E1" w:rsidRDefault="00EE0B9A">
            <w:pPr>
              <w:spacing w:after="0"/>
            </w:pPr>
            <w:r>
              <w:rPr>
                <w:sz w:val="16"/>
              </w:rPr>
              <w:t>From approved launch date</w:t>
            </w:r>
          </w:p>
        </w:tc>
        <w:tc>
          <w:tcPr>
            <w:tcW w:w="5760" w:type="dxa"/>
            <w:tcMar>
              <w:top w:w="80" w:type="dxa"/>
              <w:left w:w="100" w:type="dxa"/>
              <w:bottom w:w="80" w:type="dxa"/>
              <w:right w:w="100" w:type="dxa"/>
            </w:tcMar>
            <w:vAlign w:val="center"/>
          </w:tcPr>
          <w:p w:rsidR="00FD67E1" w:rsidRDefault="00EE0B9A">
            <w:pPr>
              <w:spacing w:after="0"/>
            </w:pPr>
            <w:r>
              <w:rPr>
                <w:sz w:val="16"/>
              </w:rPr>
              <w:t>Launch execution, media relations, reporting and quarterly improvement; social operations only if optional Package 2 is awarded.</w:t>
            </w:r>
          </w:p>
        </w:tc>
      </w:tr>
    </w:tbl>
    <w:p w:rsidR="00FD67E1" w:rsidRDefault="00FD67E1">
      <w:pPr>
        <w:spacing w:after="0"/>
      </w:pPr>
    </w:p>
    <w:p w:rsidR="00FD67E1" w:rsidRDefault="00EE0B9A">
      <w:r>
        <w:t>Bidders must identify any compression, critical-path risk or decision required to support the planned November 2026 launch. Quality, approval and factual integrity may not be compromised to meet an indicative date.</w:t>
      </w:r>
    </w:p>
    <w:p w:rsidR="00FD67E1" w:rsidRDefault="00EE0B9A">
      <w:pPr>
        <w:pStyle w:val="Heading1"/>
      </w:pPr>
      <w:r>
        <w:t>17. Tender Timeline</w:t>
      </w:r>
    </w:p>
    <w:tbl>
      <w:tblPr>
        <w:tblStyle w:val="TableGrid"/>
        <w:tblW w:w="0" w:type="auto"/>
        <w:jc w:val="center"/>
        <w:tblLook w:val="04A0" w:firstRow="1" w:lastRow="0" w:firstColumn="1" w:lastColumn="0" w:noHBand="0" w:noVBand="1"/>
      </w:tblPr>
      <w:tblGrid>
        <w:gridCol w:w="2448"/>
        <w:gridCol w:w="7200"/>
      </w:tblGrid>
      <w:tr w:rsidR="00FD67E1">
        <w:trPr>
          <w:cantSplit/>
          <w:tblHeader/>
          <w:jc w:val="center"/>
        </w:trPr>
        <w:tc>
          <w:tcPr>
            <w:tcW w:w="2448" w:type="dxa"/>
            <w:shd w:val="clear" w:color="auto" w:fill="13283F"/>
            <w:tcMar>
              <w:top w:w="80" w:type="dxa"/>
              <w:left w:w="100" w:type="dxa"/>
              <w:bottom w:w="80" w:type="dxa"/>
              <w:right w:w="100" w:type="dxa"/>
            </w:tcMar>
          </w:tcPr>
          <w:p w:rsidR="00FD67E1" w:rsidRDefault="00EE0B9A">
            <w:r>
              <w:rPr>
                <w:b/>
                <w:color w:val="FFFFFF"/>
                <w:sz w:val="16"/>
              </w:rPr>
              <w:t>Milestone</w:t>
            </w:r>
          </w:p>
        </w:tc>
        <w:tc>
          <w:tcPr>
            <w:tcW w:w="7200" w:type="dxa"/>
            <w:shd w:val="clear" w:color="auto" w:fill="13283F"/>
            <w:tcMar>
              <w:top w:w="80" w:type="dxa"/>
              <w:left w:w="100" w:type="dxa"/>
              <w:bottom w:w="80" w:type="dxa"/>
              <w:right w:w="100" w:type="dxa"/>
            </w:tcMar>
          </w:tcPr>
          <w:p w:rsidR="00FD67E1" w:rsidRDefault="00EE0B9A">
            <w:r>
              <w:rPr>
                <w:b/>
                <w:color w:val="FFFFFF"/>
                <w:sz w:val="16"/>
              </w:rPr>
              <w:t>Detail</w:t>
            </w:r>
          </w:p>
        </w:tc>
      </w:tr>
      <w:tr w:rsidR="00FD67E1">
        <w:trPr>
          <w:cantSplit/>
          <w:jc w:val="center"/>
        </w:trPr>
        <w:tc>
          <w:tcPr>
            <w:tcW w:w="2448" w:type="dxa"/>
            <w:tcMar>
              <w:top w:w="80" w:type="dxa"/>
              <w:left w:w="100" w:type="dxa"/>
              <w:bottom w:w="80" w:type="dxa"/>
              <w:right w:w="100" w:type="dxa"/>
            </w:tcMar>
            <w:vAlign w:val="center"/>
          </w:tcPr>
          <w:p w:rsidR="00FD67E1" w:rsidRDefault="00EE0B9A">
            <w:pPr>
              <w:spacing w:after="0"/>
            </w:pPr>
            <w:r>
              <w:rPr>
                <w:sz w:val="16"/>
              </w:rPr>
              <w:t>Publication</w:t>
            </w:r>
          </w:p>
        </w:tc>
        <w:tc>
          <w:tcPr>
            <w:tcW w:w="7200" w:type="dxa"/>
            <w:tcMar>
              <w:top w:w="80" w:type="dxa"/>
              <w:left w:w="100" w:type="dxa"/>
              <w:bottom w:w="80" w:type="dxa"/>
              <w:right w:w="100" w:type="dxa"/>
            </w:tcMar>
            <w:vAlign w:val="center"/>
          </w:tcPr>
          <w:p w:rsidR="00FD67E1" w:rsidRDefault="00EE0B9A">
            <w:pPr>
              <w:spacing w:after="0"/>
            </w:pPr>
            <w:r>
              <w:rPr>
                <w:sz w:val="16"/>
              </w:rPr>
              <w:t>11 September 2026 on Tawreed.</w:t>
            </w:r>
          </w:p>
        </w:tc>
      </w:tr>
      <w:tr w:rsidR="00FD67E1">
        <w:trPr>
          <w:cantSplit/>
          <w:jc w:val="center"/>
        </w:trPr>
        <w:tc>
          <w:tcPr>
            <w:tcW w:w="2448" w:type="dxa"/>
            <w:shd w:val="clear" w:color="auto" w:fill="F4F7F8"/>
            <w:tcMar>
              <w:top w:w="80" w:type="dxa"/>
              <w:left w:w="100" w:type="dxa"/>
              <w:bottom w:w="80" w:type="dxa"/>
              <w:right w:w="100" w:type="dxa"/>
            </w:tcMar>
            <w:vAlign w:val="center"/>
          </w:tcPr>
          <w:p w:rsidR="00FD67E1" w:rsidRDefault="00EE0B9A">
            <w:pPr>
              <w:spacing w:after="0"/>
            </w:pPr>
            <w:r>
              <w:rPr>
                <w:sz w:val="16"/>
              </w:rPr>
              <w:t>Clarification period</w:t>
            </w:r>
          </w:p>
        </w:tc>
        <w:tc>
          <w:tcPr>
            <w:tcW w:w="7200" w:type="dxa"/>
            <w:shd w:val="clear" w:color="auto" w:fill="F4F7F8"/>
            <w:tcMar>
              <w:top w:w="80" w:type="dxa"/>
              <w:left w:w="100" w:type="dxa"/>
              <w:bottom w:w="80" w:type="dxa"/>
              <w:right w:w="100" w:type="dxa"/>
            </w:tcMar>
            <w:vAlign w:val="center"/>
          </w:tcPr>
          <w:p w:rsidR="00FD67E1" w:rsidRDefault="00EE0B9A">
            <w:pPr>
              <w:spacing w:after="0"/>
            </w:pPr>
            <w:r>
              <w:rPr>
                <w:sz w:val="16"/>
              </w:rPr>
              <w:t>As stated on Tawreed; questions and answers may be circulated to all bidders.</w:t>
            </w:r>
          </w:p>
        </w:tc>
      </w:tr>
      <w:tr w:rsidR="00FD67E1">
        <w:trPr>
          <w:cantSplit/>
          <w:jc w:val="center"/>
        </w:trPr>
        <w:tc>
          <w:tcPr>
            <w:tcW w:w="2448" w:type="dxa"/>
            <w:tcMar>
              <w:top w:w="80" w:type="dxa"/>
              <w:left w:w="100" w:type="dxa"/>
              <w:bottom w:w="80" w:type="dxa"/>
              <w:right w:w="100" w:type="dxa"/>
            </w:tcMar>
            <w:vAlign w:val="center"/>
          </w:tcPr>
          <w:p w:rsidR="00FD67E1" w:rsidRDefault="00EE0B9A">
            <w:pPr>
              <w:spacing w:after="0"/>
            </w:pPr>
            <w:r>
              <w:rPr>
                <w:sz w:val="16"/>
              </w:rPr>
              <w:t>Tender period</w:t>
            </w:r>
          </w:p>
        </w:tc>
        <w:tc>
          <w:tcPr>
            <w:tcW w:w="7200" w:type="dxa"/>
            <w:tcMar>
              <w:top w:w="80" w:type="dxa"/>
              <w:left w:w="100" w:type="dxa"/>
              <w:bottom w:w="80" w:type="dxa"/>
              <w:right w:w="100" w:type="dxa"/>
            </w:tcMar>
            <w:vAlign w:val="center"/>
          </w:tcPr>
          <w:p w:rsidR="00FD67E1" w:rsidRDefault="00EE0B9A">
            <w:pPr>
              <w:spacing w:after="0"/>
            </w:pPr>
            <w:r>
              <w:rPr>
                <w:sz w:val="16"/>
              </w:rPr>
              <w:t>One month from publication.</w:t>
            </w:r>
          </w:p>
        </w:tc>
      </w:tr>
      <w:tr w:rsidR="00FD67E1">
        <w:trPr>
          <w:cantSplit/>
          <w:jc w:val="center"/>
        </w:trPr>
        <w:tc>
          <w:tcPr>
            <w:tcW w:w="2448" w:type="dxa"/>
            <w:shd w:val="clear" w:color="auto" w:fill="F4F7F8"/>
            <w:tcMar>
              <w:top w:w="80" w:type="dxa"/>
              <w:left w:w="100" w:type="dxa"/>
              <w:bottom w:w="80" w:type="dxa"/>
              <w:right w:w="100" w:type="dxa"/>
            </w:tcMar>
            <w:vAlign w:val="center"/>
          </w:tcPr>
          <w:p w:rsidR="00FD67E1" w:rsidRDefault="00EE0B9A">
            <w:pPr>
              <w:spacing w:after="0"/>
            </w:pPr>
            <w:r>
              <w:rPr>
                <w:sz w:val="16"/>
              </w:rPr>
              <w:t>Closing</w:t>
            </w:r>
          </w:p>
        </w:tc>
        <w:tc>
          <w:tcPr>
            <w:tcW w:w="7200" w:type="dxa"/>
            <w:shd w:val="clear" w:color="auto" w:fill="F4F7F8"/>
            <w:tcMar>
              <w:top w:w="80" w:type="dxa"/>
              <w:left w:w="100" w:type="dxa"/>
              <w:bottom w:w="80" w:type="dxa"/>
              <w:right w:w="100" w:type="dxa"/>
            </w:tcMar>
            <w:vAlign w:val="center"/>
          </w:tcPr>
          <w:p w:rsidR="00FD67E1" w:rsidRDefault="00EE0B9A">
            <w:pPr>
              <w:spacing w:after="0"/>
            </w:pPr>
            <w:r>
              <w:rPr>
                <w:sz w:val="16"/>
              </w:rPr>
              <w:t>11 October 2026 at 1:00 PM UAE time.</w:t>
            </w:r>
          </w:p>
        </w:tc>
      </w:tr>
      <w:tr w:rsidR="00FD67E1">
        <w:trPr>
          <w:cantSplit/>
          <w:jc w:val="center"/>
        </w:trPr>
        <w:tc>
          <w:tcPr>
            <w:tcW w:w="2448" w:type="dxa"/>
            <w:tcMar>
              <w:top w:w="80" w:type="dxa"/>
              <w:left w:w="100" w:type="dxa"/>
              <w:bottom w:w="80" w:type="dxa"/>
              <w:right w:w="100" w:type="dxa"/>
            </w:tcMar>
            <w:vAlign w:val="center"/>
          </w:tcPr>
          <w:p w:rsidR="00FD67E1" w:rsidRDefault="00EE0B9A">
            <w:pPr>
              <w:spacing w:after="0"/>
            </w:pPr>
            <w:r>
              <w:rPr>
                <w:sz w:val="16"/>
              </w:rPr>
              <w:t>Portal</w:t>
            </w:r>
          </w:p>
        </w:tc>
        <w:tc>
          <w:tcPr>
            <w:tcW w:w="7200" w:type="dxa"/>
            <w:tcMar>
              <w:top w:w="80" w:type="dxa"/>
              <w:left w:w="100" w:type="dxa"/>
              <w:bottom w:w="80" w:type="dxa"/>
              <w:right w:w="100" w:type="dxa"/>
            </w:tcMar>
            <w:vAlign w:val="center"/>
          </w:tcPr>
          <w:p w:rsidR="00FD67E1" w:rsidRDefault="00EE0B9A">
            <w:pPr>
              <w:spacing w:after="0"/>
            </w:pPr>
            <w:r>
              <w:rPr>
                <w:sz w:val="16"/>
              </w:rPr>
              <w:t>https://tawreed.ajman.ae/ords/r/tawreed_fusion/isupplier-dof109109/tender-details#loaded</w:t>
            </w:r>
          </w:p>
        </w:tc>
      </w:tr>
    </w:tbl>
    <w:p w:rsidR="00FD67E1" w:rsidRDefault="00FD67E1">
      <w:pPr>
        <w:spacing w:after="0"/>
      </w:pPr>
    </w:p>
    <w:p w:rsidR="00FD67E1" w:rsidRDefault="00EE0B9A">
      <w:pPr>
        <w:pStyle w:val="Heading1"/>
      </w:pPr>
      <w:r>
        <w:lastRenderedPageBreak/>
        <w:t>18. Contact</w:t>
      </w:r>
    </w:p>
    <w:p w:rsidR="00FD67E1" w:rsidRDefault="00EE0B9A">
      <w:pPr>
        <w:pStyle w:val="Heading2"/>
      </w:pPr>
      <w:r>
        <w:t>Scope and technical enquiries</w:t>
      </w:r>
    </w:p>
    <w:p w:rsidR="00FD67E1" w:rsidRDefault="00EE0B9A">
      <w:r>
        <w:t>Events and Marketing Department, Tharaa / Ajman Chamber</w:t>
      </w:r>
    </w:p>
    <w:p w:rsidR="00FD67E1" w:rsidRDefault="00EE0B9A">
      <w:r>
        <w:t>Email: Alyaa.alhumrani@ajmanchamber.ae</w:t>
      </w:r>
    </w:p>
    <w:p w:rsidR="00FD67E1" w:rsidRDefault="00EE0B9A">
      <w:pPr>
        <w:pStyle w:val="Heading2"/>
      </w:pPr>
      <w:r>
        <w:t>Tawreed registration and proposal-upload support</w:t>
      </w:r>
    </w:p>
    <w:p w:rsidR="00FD67E1" w:rsidRDefault="00EE0B9A">
      <w:r>
        <w:t>Contracts and Procurement Section — Finance Department, Ajman Chamber</w:t>
      </w:r>
    </w:p>
    <w:p w:rsidR="00FD67E1" w:rsidRDefault="00EE0B9A">
      <w:r>
        <w:t>Email: manea_almandoos@ajmanchamber.ae</w:t>
      </w:r>
    </w:p>
    <w:p w:rsidR="00FD67E1" w:rsidRDefault="00EE0B9A">
      <w:pPr>
        <w:pStyle w:val="SmallNote"/>
      </w:pPr>
      <w:r>
        <w:t>All formal clarifications are subject to the procurement process. Responses may be circulated to all bidders to ensure equal information.</w:t>
      </w:r>
    </w:p>
    <w:p w:rsidR="00FD67E1" w:rsidRDefault="00EE0B9A">
      <w:r>
        <w:br w:type="page"/>
      </w:r>
    </w:p>
    <w:p w:rsidR="00FD67E1" w:rsidRDefault="00EE0B9A">
      <w:pPr>
        <w:pStyle w:val="Heading1"/>
      </w:pPr>
      <w:r>
        <w:lastRenderedPageBreak/>
        <w:t>Schedule A Detailed Brand and Identity Requirements</w:t>
      </w:r>
    </w:p>
    <w:p w:rsidR="00FD67E1" w:rsidRDefault="00EE0B9A">
      <w:pPr>
        <w:pStyle w:val="Heading2"/>
      </w:pPr>
      <w:r>
        <w:t>A1 Brand discovery and evidence base</w:t>
      </w:r>
    </w:p>
    <w:p w:rsidR="00FD67E1" w:rsidRDefault="00EE0B9A">
      <w:r>
        <w:t xml:space="preserve">Tharaa’s foundation, six-entity structure, audiences and strategic direction are defined in this scope. The agency must understand and apply them rather than restart the question of what Tharaa is. The initial phase will validate assumptions, close evidence gaps and translate the approved direction into a complete brand platform. The agency must plan, conduct and document focused stakeholder interviews, audience analysis, category review and review of the approved strategy, corporate, legal and operational </w:t>
      </w:r>
      <w:r>
        <w:t>material supplied by Tharaa.</w:t>
      </w:r>
    </w:p>
    <w:tbl>
      <w:tblPr>
        <w:tblStyle w:val="TableGrid"/>
        <w:tblW w:w="0" w:type="auto"/>
        <w:jc w:val="center"/>
        <w:tblLook w:val="04A0" w:firstRow="1" w:lastRow="0" w:firstColumn="1" w:lastColumn="0" w:noHBand="0" w:noVBand="1"/>
      </w:tblPr>
      <w:tblGrid>
        <w:gridCol w:w="1944"/>
        <w:gridCol w:w="4968"/>
        <w:gridCol w:w="2520"/>
      </w:tblGrid>
      <w:tr w:rsidR="00FD67E1">
        <w:trPr>
          <w:cantSplit/>
          <w:tblHeader/>
          <w:jc w:val="center"/>
        </w:trPr>
        <w:tc>
          <w:tcPr>
            <w:tcW w:w="1944" w:type="dxa"/>
            <w:shd w:val="clear" w:color="auto" w:fill="13283F"/>
            <w:tcMar>
              <w:top w:w="80" w:type="dxa"/>
              <w:left w:w="100" w:type="dxa"/>
              <w:bottom w:w="80" w:type="dxa"/>
              <w:right w:w="100" w:type="dxa"/>
            </w:tcMar>
          </w:tcPr>
          <w:p w:rsidR="00FD67E1" w:rsidRDefault="00EE0B9A">
            <w:r>
              <w:rPr>
                <w:b/>
                <w:color w:val="FFFFFF"/>
                <w:sz w:val="16"/>
              </w:rPr>
              <w:t>Required activity</w:t>
            </w:r>
          </w:p>
        </w:tc>
        <w:tc>
          <w:tcPr>
            <w:tcW w:w="4968" w:type="dxa"/>
            <w:shd w:val="clear" w:color="auto" w:fill="13283F"/>
            <w:tcMar>
              <w:top w:w="80" w:type="dxa"/>
              <w:left w:w="100" w:type="dxa"/>
              <w:bottom w:w="80" w:type="dxa"/>
              <w:right w:w="100" w:type="dxa"/>
            </w:tcMar>
          </w:tcPr>
          <w:p w:rsidR="00FD67E1" w:rsidRDefault="00EE0B9A">
            <w:r>
              <w:rPr>
                <w:b/>
                <w:color w:val="FFFFFF"/>
                <w:sz w:val="16"/>
              </w:rPr>
              <w:t>Detailed requirement</w:t>
            </w:r>
          </w:p>
        </w:tc>
        <w:tc>
          <w:tcPr>
            <w:tcW w:w="2520" w:type="dxa"/>
            <w:shd w:val="clear" w:color="auto" w:fill="13283F"/>
            <w:tcMar>
              <w:top w:w="80" w:type="dxa"/>
              <w:left w:w="100" w:type="dxa"/>
              <w:bottom w:w="80" w:type="dxa"/>
              <w:right w:w="100" w:type="dxa"/>
            </w:tcMar>
          </w:tcPr>
          <w:p w:rsidR="00FD67E1" w:rsidRDefault="00EE0B9A">
            <w:r>
              <w:rPr>
                <w:b/>
                <w:color w:val="FFFFFF"/>
                <w:sz w:val="16"/>
              </w:rPr>
              <w:t>Acceptance evidence</w:t>
            </w:r>
          </w:p>
        </w:tc>
      </w:tr>
      <w:tr w:rsidR="00FD67E1">
        <w:trPr>
          <w:cantSplit/>
          <w:jc w:val="center"/>
        </w:trPr>
        <w:tc>
          <w:tcPr>
            <w:tcW w:w="1944" w:type="dxa"/>
            <w:tcMar>
              <w:top w:w="80" w:type="dxa"/>
              <w:left w:w="100" w:type="dxa"/>
              <w:bottom w:w="80" w:type="dxa"/>
              <w:right w:w="100" w:type="dxa"/>
            </w:tcMar>
            <w:vAlign w:val="center"/>
          </w:tcPr>
          <w:p w:rsidR="00FD67E1" w:rsidRDefault="00EE0B9A">
            <w:pPr>
              <w:spacing w:after="0"/>
            </w:pPr>
            <w:r>
              <w:rPr>
                <w:sz w:val="16"/>
              </w:rPr>
              <w:t>Leadership interviews</w:t>
            </w:r>
          </w:p>
        </w:tc>
        <w:tc>
          <w:tcPr>
            <w:tcW w:w="4968" w:type="dxa"/>
            <w:tcMar>
              <w:top w:w="80" w:type="dxa"/>
              <w:left w:w="100" w:type="dxa"/>
              <w:bottom w:w="80" w:type="dxa"/>
              <w:right w:w="100" w:type="dxa"/>
            </w:tcMar>
            <w:vAlign w:val="center"/>
          </w:tcPr>
          <w:p w:rsidR="00FD67E1" w:rsidRDefault="00EE0B9A">
            <w:pPr>
              <w:spacing w:after="0"/>
            </w:pPr>
            <w:r>
              <w:rPr>
                <w:sz w:val="16"/>
              </w:rPr>
              <w:t>Interview the Chairperson, Group CEO, relevant Board or committee representatives, Ajman Chamber sponsor, entity leaders and nominated operating stakeholders. Confirm decision rights, ambitions, risks, proof points and language sensitivities.</w:t>
            </w:r>
          </w:p>
        </w:tc>
        <w:tc>
          <w:tcPr>
            <w:tcW w:w="2520" w:type="dxa"/>
            <w:tcMar>
              <w:top w:w="80" w:type="dxa"/>
              <w:left w:w="100" w:type="dxa"/>
              <w:bottom w:w="80" w:type="dxa"/>
              <w:right w:w="100" w:type="dxa"/>
            </w:tcMar>
            <w:vAlign w:val="center"/>
          </w:tcPr>
          <w:p w:rsidR="00FD67E1" w:rsidRDefault="00EE0B9A">
            <w:pPr>
              <w:spacing w:after="0"/>
            </w:pPr>
            <w:r>
              <w:rPr>
                <w:sz w:val="16"/>
              </w:rPr>
              <w:t>Interview plan, discussion guides, anonymised findings, decision log and signed discovery report.</w:t>
            </w:r>
          </w:p>
        </w:tc>
      </w:tr>
      <w:tr w:rsidR="00FD67E1">
        <w:trPr>
          <w:cantSplit/>
          <w:jc w:val="center"/>
        </w:trPr>
        <w:tc>
          <w:tcPr>
            <w:tcW w:w="1944" w:type="dxa"/>
            <w:shd w:val="clear" w:color="auto" w:fill="F4F7F8"/>
            <w:tcMar>
              <w:top w:w="80" w:type="dxa"/>
              <w:left w:w="100" w:type="dxa"/>
              <w:bottom w:w="80" w:type="dxa"/>
              <w:right w:w="100" w:type="dxa"/>
            </w:tcMar>
            <w:vAlign w:val="center"/>
          </w:tcPr>
          <w:p w:rsidR="00FD67E1" w:rsidRDefault="00EE0B9A">
            <w:pPr>
              <w:spacing w:after="0"/>
            </w:pPr>
            <w:r>
              <w:rPr>
                <w:sz w:val="16"/>
              </w:rPr>
              <w:t>Audience research</w:t>
            </w:r>
          </w:p>
        </w:tc>
        <w:tc>
          <w:tcPr>
            <w:tcW w:w="4968" w:type="dxa"/>
            <w:shd w:val="clear" w:color="auto" w:fill="F4F7F8"/>
            <w:tcMar>
              <w:top w:w="80" w:type="dxa"/>
              <w:left w:w="100" w:type="dxa"/>
              <w:bottom w:w="80" w:type="dxa"/>
              <w:right w:w="100" w:type="dxa"/>
            </w:tcMar>
            <w:vAlign w:val="center"/>
          </w:tcPr>
          <w:p w:rsidR="00FD67E1" w:rsidRDefault="00EE0B9A">
            <w:pPr>
              <w:spacing w:after="0"/>
            </w:pPr>
            <w:r>
              <w:rPr>
                <w:sz w:val="16"/>
              </w:rPr>
              <w:t>Define needs, barriers, triggers and decision journeys for founders, SMEs, investors, corporates, government, universities, talent and community audiences.</w:t>
            </w:r>
          </w:p>
        </w:tc>
        <w:tc>
          <w:tcPr>
            <w:tcW w:w="2520" w:type="dxa"/>
            <w:shd w:val="clear" w:color="auto" w:fill="F4F7F8"/>
            <w:tcMar>
              <w:top w:w="80" w:type="dxa"/>
              <w:left w:w="100" w:type="dxa"/>
              <w:bottom w:w="80" w:type="dxa"/>
              <w:right w:w="100" w:type="dxa"/>
            </w:tcMar>
            <w:vAlign w:val="center"/>
          </w:tcPr>
          <w:p w:rsidR="00FD67E1" w:rsidRDefault="00EE0B9A">
            <w:pPr>
              <w:spacing w:after="0"/>
            </w:pPr>
            <w:r>
              <w:rPr>
                <w:sz w:val="16"/>
              </w:rPr>
              <w:t>Audience profiles, prioritisation logic, journey maps and implications for message and channel design.</w:t>
            </w:r>
          </w:p>
        </w:tc>
      </w:tr>
      <w:tr w:rsidR="00FD67E1">
        <w:trPr>
          <w:cantSplit/>
          <w:jc w:val="center"/>
        </w:trPr>
        <w:tc>
          <w:tcPr>
            <w:tcW w:w="1944" w:type="dxa"/>
            <w:tcMar>
              <w:top w:w="80" w:type="dxa"/>
              <w:left w:w="100" w:type="dxa"/>
              <w:bottom w:w="80" w:type="dxa"/>
              <w:right w:w="100" w:type="dxa"/>
            </w:tcMar>
            <w:vAlign w:val="center"/>
          </w:tcPr>
          <w:p w:rsidR="00FD67E1" w:rsidRDefault="00EE0B9A">
            <w:pPr>
              <w:spacing w:after="0"/>
            </w:pPr>
            <w:r>
              <w:rPr>
                <w:sz w:val="16"/>
              </w:rPr>
              <w:t>Category assessment</w:t>
            </w:r>
          </w:p>
        </w:tc>
        <w:tc>
          <w:tcPr>
            <w:tcW w:w="4968" w:type="dxa"/>
            <w:tcMar>
              <w:top w:w="80" w:type="dxa"/>
              <w:left w:w="100" w:type="dxa"/>
              <w:bottom w:w="80" w:type="dxa"/>
              <w:right w:w="100" w:type="dxa"/>
            </w:tcMar>
            <w:vAlign w:val="center"/>
          </w:tcPr>
          <w:p w:rsidR="00FD67E1" w:rsidRDefault="00EE0B9A">
            <w:pPr>
              <w:spacing w:after="0"/>
            </w:pPr>
            <w:r>
              <w:rPr>
                <w:sz w:val="16"/>
              </w:rPr>
              <w:t>Review relevant UAE, GCC and international hubs, accelerators, venture platforms, funds, shared-service providers and economic-development brands.</w:t>
            </w:r>
          </w:p>
        </w:tc>
        <w:tc>
          <w:tcPr>
            <w:tcW w:w="2520" w:type="dxa"/>
            <w:tcMar>
              <w:top w:w="80" w:type="dxa"/>
              <w:left w:w="100" w:type="dxa"/>
              <w:bottom w:w="80" w:type="dxa"/>
              <w:right w:w="100" w:type="dxa"/>
            </w:tcMar>
            <w:vAlign w:val="center"/>
          </w:tcPr>
          <w:p w:rsidR="00FD67E1" w:rsidRDefault="00EE0B9A">
            <w:pPr>
              <w:spacing w:after="0"/>
            </w:pPr>
            <w:r>
              <w:rPr>
                <w:sz w:val="16"/>
              </w:rPr>
              <w:t>Comparator matrix showing positioning, architecture, claims, visual patterns, whitespace and risks of imitation.</w:t>
            </w:r>
          </w:p>
        </w:tc>
      </w:tr>
      <w:tr w:rsidR="00FD67E1">
        <w:trPr>
          <w:cantSplit/>
          <w:jc w:val="center"/>
        </w:trPr>
        <w:tc>
          <w:tcPr>
            <w:tcW w:w="1944" w:type="dxa"/>
            <w:shd w:val="clear" w:color="auto" w:fill="F4F7F8"/>
            <w:tcMar>
              <w:top w:w="80" w:type="dxa"/>
              <w:left w:w="100" w:type="dxa"/>
              <w:bottom w:w="80" w:type="dxa"/>
              <w:right w:w="100" w:type="dxa"/>
            </w:tcMar>
            <w:vAlign w:val="center"/>
          </w:tcPr>
          <w:p w:rsidR="00FD67E1" w:rsidRDefault="00EE0B9A">
            <w:pPr>
              <w:spacing w:after="0"/>
            </w:pPr>
            <w:r>
              <w:rPr>
                <w:sz w:val="16"/>
              </w:rPr>
              <w:t>Current-state audit</w:t>
            </w:r>
          </w:p>
        </w:tc>
        <w:tc>
          <w:tcPr>
            <w:tcW w:w="4968" w:type="dxa"/>
            <w:shd w:val="clear" w:color="auto" w:fill="F4F7F8"/>
            <w:tcMar>
              <w:top w:w="80" w:type="dxa"/>
              <w:left w:w="100" w:type="dxa"/>
              <w:bottom w:w="80" w:type="dxa"/>
              <w:right w:w="100" w:type="dxa"/>
            </w:tcMar>
            <w:vAlign w:val="center"/>
          </w:tcPr>
          <w:p w:rsidR="00FD67E1" w:rsidRDefault="00EE0B9A">
            <w:pPr>
              <w:spacing w:after="0"/>
            </w:pPr>
            <w:r>
              <w:rPr>
                <w:sz w:val="16"/>
              </w:rPr>
              <w:t>Audit existing name usage, marks, presentations, documents, websites, social accounts, event materials and stakeholder descriptions.</w:t>
            </w:r>
          </w:p>
        </w:tc>
        <w:tc>
          <w:tcPr>
            <w:tcW w:w="2520" w:type="dxa"/>
            <w:shd w:val="clear" w:color="auto" w:fill="F4F7F8"/>
            <w:tcMar>
              <w:top w:w="80" w:type="dxa"/>
              <w:left w:w="100" w:type="dxa"/>
              <w:bottom w:w="80" w:type="dxa"/>
              <w:right w:w="100" w:type="dxa"/>
            </w:tcMar>
            <w:vAlign w:val="center"/>
          </w:tcPr>
          <w:p w:rsidR="00FD67E1" w:rsidRDefault="00EE0B9A">
            <w:pPr>
              <w:spacing w:after="0"/>
            </w:pPr>
            <w:r>
              <w:rPr>
                <w:sz w:val="16"/>
              </w:rPr>
              <w:t>Asset inventory, consistency assessment, remediation list and migration priorities.</w:t>
            </w:r>
          </w:p>
        </w:tc>
      </w:tr>
      <w:tr w:rsidR="00FD67E1">
        <w:trPr>
          <w:cantSplit/>
          <w:jc w:val="center"/>
        </w:trPr>
        <w:tc>
          <w:tcPr>
            <w:tcW w:w="1944" w:type="dxa"/>
            <w:tcMar>
              <w:top w:w="80" w:type="dxa"/>
              <w:left w:w="100" w:type="dxa"/>
              <w:bottom w:w="80" w:type="dxa"/>
              <w:right w:w="100" w:type="dxa"/>
            </w:tcMar>
            <w:vAlign w:val="center"/>
          </w:tcPr>
          <w:p w:rsidR="00FD67E1" w:rsidRDefault="00EE0B9A">
            <w:pPr>
              <w:spacing w:after="0"/>
            </w:pPr>
            <w:r>
              <w:rPr>
                <w:sz w:val="16"/>
              </w:rPr>
              <w:t>Evidence register</w:t>
            </w:r>
          </w:p>
        </w:tc>
        <w:tc>
          <w:tcPr>
            <w:tcW w:w="4968" w:type="dxa"/>
            <w:tcMar>
              <w:top w:w="80" w:type="dxa"/>
              <w:left w:w="100" w:type="dxa"/>
              <w:bottom w:w="80" w:type="dxa"/>
              <w:right w:w="100" w:type="dxa"/>
            </w:tcMar>
            <w:vAlign w:val="center"/>
          </w:tcPr>
          <w:p w:rsidR="00FD67E1" w:rsidRDefault="00EE0B9A">
            <w:pPr>
              <w:spacing w:after="0"/>
            </w:pPr>
            <w:r>
              <w:rPr>
                <w:sz w:val="16"/>
              </w:rPr>
              <w:t>Separate approved facts, operating targets, pipeline, concepts under development and claims that may not yet be communicated.</w:t>
            </w:r>
          </w:p>
        </w:tc>
        <w:tc>
          <w:tcPr>
            <w:tcW w:w="2520" w:type="dxa"/>
            <w:tcMar>
              <w:top w:w="80" w:type="dxa"/>
              <w:left w:w="100" w:type="dxa"/>
              <w:bottom w:w="80" w:type="dxa"/>
              <w:right w:w="100" w:type="dxa"/>
            </w:tcMar>
            <w:vAlign w:val="center"/>
          </w:tcPr>
          <w:p w:rsidR="00FD67E1" w:rsidRDefault="00EE0B9A">
            <w:pPr>
              <w:spacing w:after="0"/>
            </w:pPr>
            <w:r>
              <w:rPr>
                <w:sz w:val="16"/>
              </w:rPr>
              <w:t>Controlled claims register with source owner, approval status, permitted wording, expiry/review date and supporting document reference.</w:t>
            </w:r>
          </w:p>
        </w:tc>
      </w:tr>
    </w:tbl>
    <w:p w:rsidR="00FD67E1" w:rsidRDefault="00FD67E1">
      <w:pPr>
        <w:spacing w:after="0"/>
      </w:pPr>
    </w:p>
    <w:p w:rsidR="00FD67E1" w:rsidRDefault="00EE0B9A">
      <w:pPr>
        <w:pStyle w:val="Heading2"/>
      </w:pPr>
      <w:r>
        <w:t>A2 Brand platform</w:t>
      </w:r>
    </w:p>
    <w:p w:rsidR="00FD67E1" w:rsidRDefault="00EE0B9A">
      <w:pPr>
        <w:pStyle w:val="CompactBullet"/>
      </w:pPr>
      <w:r>
        <w:t>Purpose: the practical reason Tharaa exists and the economic or entrepreneurial problem it solves.</w:t>
      </w:r>
    </w:p>
    <w:p w:rsidR="00FD67E1" w:rsidRDefault="00EE0B9A">
      <w:pPr>
        <w:pStyle w:val="CompactBullet"/>
      </w:pPr>
      <w:r>
        <w:t>Vision and mission: refined without changing Tharaa’s approved strategic intent.</w:t>
      </w:r>
    </w:p>
    <w:p w:rsidR="00FD67E1" w:rsidRDefault="00EE0B9A">
      <w:pPr>
        <w:pStyle w:val="CompactBullet"/>
      </w:pPr>
      <w:r>
        <w:t>Positioning: one master positioning statement, audience-specific versions and a defensible frame of reference.</w:t>
      </w:r>
    </w:p>
    <w:p w:rsidR="00FD67E1" w:rsidRDefault="00EE0B9A">
      <w:pPr>
        <w:pStyle w:val="CompactBullet"/>
      </w:pPr>
      <w:r>
        <w:t>Value propositions: distinct propositions for founders, investors, Chamber members, corporates, government, universities, talent and communities.</w:t>
      </w:r>
    </w:p>
    <w:p w:rsidR="00FD67E1" w:rsidRDefault="00EE0B9A">
      <w:pPr>
        <w:pStyle w:val="CompactBullet"/>
      </w:pPr>
      <w:r>
        <w:t>Brand promise and proof: what Tharaa commits to deliver and the evidence needed to substantiate each promise.</w:t>
      </w:r>
    </w:p>
    <w:p w:rsidR="00FD67E1" w:rsidRDefault="00EE0B9A">
      <w:pPr>
        <w:pStyle w:val="CompactBullet"/>
      </w:pPr>
      <w:r>
        <w:t>Personality and behaviours: not merely adjectives; define how the brand behaves in meetings, digital products, applications, programmes, media and difficult situations.</w:t>
      </w:r>
    </w:p>
    <w:p w:rsidR="00FD67E1" w:rsidRDefault="00EE0B9A">
      <w:pPr>
        <w:pStyle w:val="CompactBullet"/>
      </w:pPr>
      <w:r>
        <w:t>Narrative: a concise explanation, a 60-second explanation, a full corporate story and approved boilerplates of approximately 50, 100 and 200 words in Arabic and English.</w:t>
      </w:r>
    </w:p>
    <w:p w:rsidR="00FD67E1" w:rsidRDefault="00EE0B9A">
      <w:pPr>
        <w:pStyle w:val="CompactBullet"/>
      </w:pPr>
      <w:r>
        <w:t>Message hierarchy: group-level message, entity messages, programme messages, audience messages, calls to action and prohibited or conditional claims.</w:t>
      </w:r>
    </w:p>
    <w:p w:rsidR="00FD67E1" w:rsidRDefault="00EE0B9A">
      <w:pPr>
        <w:pStyle w:val="CompactBullet"/>
      </w:pPr>
      <w:r>
        <w:t>Brand principles: rules for balancing institutional credibility, commercial relevance, entrepreneurial energy, inclusion, Sharia sensitivity and measurable impact.</w:t>
      </w:r>
    </w:p>
    <w:p w:rsidR="00FD67E1" w:rsidRDefault="00EE0B9A">
      <w:pPr>
        <w:pStyle w:val="Heading2"/>
      </w:pPr>
      <w:r>
        <w:t>A3 Naming and architecture rules</w:t>
      </w:r>
    </w:p>
    <w:p w:rsidR="00FD67E1" w:rsidRDefault="00EE0B9A">
      <w:r>
        <w:t>The agency must deliver a system capable of accommodating new companies, programmes, cohorts, investment vehicles, spaces, initiatives and partnerships without diluting the master brand. It must specify when Tharaa is the communicator and when an operating company leads.</w:t>
      </w:r>
    </w:p>
    <w:tbl>
      <w:tblPr>
        <w:tblStyle w:val="TableGrid"/>
        <w:tblW w:w="0" w:type="auto"/>
        <w:jc w:val="center"/>
        <w:tblLook w:val="04A0" w:firstRow="1" w:lastRow="0" w:firstColumn="1" w:lastColumn="0" w:noHBand="0" w:noVBand="1"/>
      </w:tblPr>
      <w:tblGrid>
        <w:gridCol w:w="2880"/>
        <w:gridCol w:w="6768"/>
      </w:tblGrid>
      <w:tr w:rsidR="00FD67E1">
        <w:trPr>
          <w:cantSplit/>
          <w:tblHeader/>
          <w:jc w:val="center"/>
        </w:trPr>
        <w:tc>
          <w:tcPr>
            <w:tcW w:w="2880" w:type="dxa"/>
            <w:shd w:val="clear" w:color="auto" w:fill="13283F"/>
            <w:tcMar>
              <w:top w:w="80" w:type="dxa"/>
              <w:left w:w="100" w:type="dxa"/>
              <w:bottom w:w="80" w:type="dxa"/>
              <w:right w:w="100" w:type="dxa"/>
            </w:tcMar>
          </w:tcPr>
          <w:p w:rsidR="00FD67E1" w:rsidRDefault="00EE0B9A">
            <w:r>
              <w:rPr>
                <w:b/>
                <w:color w:val="FFFFFF"/>
                <w:sz w:val="16"/>
              </w:rPr>
              <w:t>Architecture question</w:t>
            </w:r>
          </w:p>
        </w:tc>
        <w:tc>
          <w:tcPr>
            <w:tcW w:w="6768" w:type="dxa"/>
            <w:shd w:val="clear" w:color="auto" w:fill="13283F"/>
            <w:tcMar>
              <w:top w:w="80" w:type="dxa"/>
              <w:left w:w="100" w:type="dxa"/>
              <w:bottom w:w="80" w:type="dxa"/>
              <w:right w:w="100" w:type="dxa"/>
            </w:tcMar>
          </w:tcPr>
          <w:p w:rsidR="00FD67E1" w:rsidRDefault="00EE0B9A">
            <w:r>
              <w:rPr>
                <w:b/>
                <w:color w:val="FFFFFF"/>
                <w:sz w:val="16"/>
              </w:rPr>
              <w:t>Required decision</w:t>
            </w:r>
          </w:p>
        </w:tc>
      </w:tr>
      <w:tr w:rsidR="00FD67E1">
        <w:trPr>
          <w:cantSplit/>
          <w:jc w:val="center"/>
        </w:trPr>
        <w:tc>
          <w:tcPr>
            <w:tcW w:w="2880" w:type="dxa"/>
            <w:tcMar>
              <w:top w:w="80" w:type="dxa"/>
              <w:left w:w="100" w:type="dxa"/>
              <w:bottom w:w="80" w:type="dxa"/>
              <w:right w:w="100" w:type="dxa"/>
            </w:tcMar>
            <w:vAlign w:val="center"/>
          </w:tcPr>
          <w:p w:rsidR="00FD67E1" w:rsidRDefault="00EE0B9A">
            <w:pPr>
              <w:spacing w:after="0"/>
            </w:pPr>
            <w:r>
              <w:rPr>
                <w:sz w:val="16"/>
              </w:rPr>
              <w:lastRenderedPageBreak/>
              <w:t>Master brand</w:t>
            </w:r>
          </w:p>
        </w:tc>
        <w:tc>
          <w:tcPr>
            <w:tcW w:w="6768" w:type="dxa"/>
            <w:tcMar>
              <w:top w:w="80" w:type="dxa"/>
              <w:left w:w="100" w:type="dxa"/>
              <w:bottom w:w="80" w:type="dxa"/>
              <w:right w:w="100" w:type="dxa"/>
            </w:tcMar>
            <w:vAlign w:val="center"/>
          </w:tcPr>
          <w:p w:rsidR="00FD67E1" w:rsidRDefault="00EE0B9A">
            <w:pPr>
              <w:spacing w:after="0"/>
            </w:pPr>
            <w:r>
              <w:rPr>
                <w:sz w:val="16"/>
              </w:rPr>
              <w:t>Define the authority, visual dominance and verbal role of Tharaa across every application.</w:t>
            </w:r>
          </w:p>
        </w:tc>
      </w:tr>
      <w:tr w:rsidR="00FD67E1">
        <w:trPr>
          <w:cantSplit/>
          <w:jc w:val="center"/>
        </w:trPr>
        <w:tc>
          <w:tcPr>
            <w:tcW w:w="2880" w:type="dxa"/>
            <w:shd w:val="clear" w:color="auto" w:fill="F4F7F8"/>
            <w:tcMar>
              <w:top w:w="80" w:type="dxa"/>
              <w:left w:w="100" w:type="dxa"/>
              <w:bottom w:w="80" w:type="dxa"/>
              <w:right w:w="100" w:type="dxa"/>
            </w:tcMar>
            <w:vAlign w:val="center"/>
          </w:tcPr>
          <w:p w:rsidR="00FD67E1" w:rsidRDefault="00EE0B9A">
            <w:pPr>
              <w:spacing w:after="0"/>
            </w:pPr>
            <w:r>
              <w:rPr>
                <w:sz w:val="16"/>
              </w:rPr>
              <w:t>Operating companies</w:t>
            </w:r>
          </w:p>
        </w:tc>
        <w:tc>
          <w:tcPr>
            <w:tcW w:w="6768" w:type="dxa"/>
            <w:shd w:val="clear" w:color="auto" w:fill="F4F7F8"/>
            <w:tcMar>
              <w:top w:w="80" w:type="dxa"/>
              <w:left w:w="100" w:type="dxa"/>
              <w:bottom w:w="80" w:type="dxa"/>
              <w:right w:w="100" w:type="dxa"/>
            </w:tcMar>
            <w:vAlign w:val="center"/>
          </w:tcPr>
          <w:p w:rsidR="00FD67E1" w:rsidRDefault="00EE0B9A">
            <w:pPr>
              <w:spacing w:after="0"/>
            </w:pPr>
            <w:r>
              <w:rPr>
                <w:sz w:val="16"/>
              </w:rPr>
              <w:t>Define official English and Arabic names, descriptors, lockups, endorsement hierarchy and shortened references.</w:t>
            </w:r>
          </w:p>
        </w:tc>
      </w:tr>
      <w:tr w:rsidR="00FD67E1">
        <w:trPr>
          <w:cantSplit/>
          <w:jc w:val="center"/>
        </w:trPr>
        <w:tc>
          <w:tcPr>
            <w:tcW w:w="2880" w:type="dxa"/>
            <w:tcMar>
              <w:top w:w="80" w:type="dxa"/>
              <w:left w:w="100" w:type="dxa"/>
              <w:bottom w:w="80" w:type="dxa"/>
              <w:right w:w="100" w:type="dxa"/>
            </w:tcMar>
            <w:vAlign w:val="center"/>
          </w:tcPr>
          <w:p w:rsidR="00FD67E1" w:rsidRDefault="00EE0B9A">
            <w:pPr>
              <w:spacing w:after="0"/>
            </w:pPr>
            <w:r>
              <w:rPr>
                <w:sz w:val="16"/>
              </w:rPr>
              <w:t>Programmes and cohorts</w:t>
            </w:r>
          </w:p>
        </w:tc>
        <w:tc>
          <w:tcPr>
            <w:tcW w:w="6768" w:type="dxa"/>
            <w:tcMar>
              <w:top w:w="80" w:type="dxa"/>
              <w:left w:w="100" w:type="dxa"/>
              <w:bottom w:w="80" w:type="dxa"/>
              <w:right w:w="100" w:type="dxa"/>
            </w:tcMar>
            <w:vAlign w:val="center"/>
          </w:tcPr>
          <w:p w:rsidR="00FD67E1" w:rsidRDefault="00EE0B9A">
            <w:pPr>
              <w:spacing w:after="0"/>
            </w:pPr>
            <w:r>
              <w:rPr>
                <w:sz w:val="16"/>
              </w:rPr>
              <w:t>Define naming and numbering conventions, including year, cohort, theme, geography and sponsor treatment.</w:t>
            </w:r>
          </w:p>
        </w:tc>
      </w:tr>
      <w:tr w:rsidR="00FD67E1">
        <w:trPr>
          <w:cantSplit/>
          <w:jc w:val="center"/>
        </w:trPr>
        <w:tc>
          <w:tcPr>
            <w:tcW w:w="2880" w:type="dxa"/>
            <w:shd w:val="clear" w:color="auto" w:fill="F4F7F8"/>
            <w:tcMar>
              <w:top w:w="80" w:type="dxa"/>
              <w:left w:w="100" w:type="dxa"/>
              <w:bottom w:w="80" w:type="dxa"/>
              <w:right w:w="100" w:type="dxa"/>
            </w:tcMar>
            <w:vAlign w:val="center"/>
          </w:tcPr>
          <w:p w:rsidR="00FD67E1" w:rsidRDefault="00EE0B9A">
            <w:pPr>
              <w:spacing w:after="0"/>
            </w:pPr>
            <w:r>
              <w:rPr>
                <w:sz w:val="16"/>
              </w:rPr>
              <w:t>Investments and vehicles</w:t>
            </w:r>
          </w:p>
        </w:tc>
        <w:tc>
          <w:tcPr>
            <w:tcW w:w="6768" w:type="dxa"/>
            <w:shd w:val="clear" w:color="auto" w:fill="F4F7F8"/>
            <w:tcMar>
              <w:top w:w="80" w:type="dxa"/>
              <w:left w:w="100" w:type="dxa"/>
              <w:bottom w:w="80" w:type="dxa"/>
              <w:right w:w="100" w:type="dxa"/>
            </w:tcMar>
            <w:vAlign w:val="center"/>
          </w:tcPr>
          <w:p w:rsidR="00FD67E1" w:rsidRDefault="00EE0B9A">
            <w:pPr>
              <w:spacing w:after="0"/>
            </w:pPr>
            <w:r>
              <w:rPr>
                <w:sz w:val="16"/>
              </w:rPr>
              <w:t>Define a controlled approach that distinguishes Tharaa Capital, any licensed vehicle, investment programme, partnership or future fund.</w:t>
            </w:r>
          </w:p>
        </w:tc>
      </w:tr>
      <w:tr w:rsidR="00FD67E1">
        <w:trPr>
          <w:cantSplit/>
          <w:jc w:val="center"/>
        </w:trPr>
        <w:tc>
          <w:tcPr>
            <w:tcW w:w="2880" w:type="dxa"/>
            <w:tcMar>
              <w:top w:w="80" w:type="dxa"/>
              <w:left w:w="100" w:type="dxa"/>
              <w:bottom w:w="80" w:type="dxa"/>
              <w:right w:w="100" w:type="dxa"/>
            </w:tcMar>
            <w:vAlign w:val="center"/>
          </w:tcPr>
          <w:p w:rsidR="00FD67E1" w:rsidRDefault="00EE0B9A">
            <w:pPr>
              <w:spacing w:after="0"/>
            </w:pPr>
            <w:r>
              <w:rPr>
                <w:sz w:val="16"/>
              </w:rPr>
              <w:t>Partnerships</w:t>
            </w:r>
          </w:p>
        </w:tc>
        <w:tc>
          <w:tcPr>
            <w:tcW w:w="6768" w:type="dxa"/>
            <w:tcMar>
              <w:top w:w="80" w:type="dxa"/>
              <w:left w:w="100" w:type="dxa"/>
              <w:bottom w:w="80" w:type="dxa"/>
              <w:right w:w="100" w:type="dxa"/>
            </w:tcMar>
            <w:vAlign w:val="center"/>
          </w:tcPr>
          <w:p w:rsidR="00FD67E1" w:rsidRDefault="00EE0B9A">
            <w:pPr>
              <w:spacing w:after="0"/>
            </w:pPr>
            <w:r>
              <w:rPr>
                <w:sz w:val="16"/>
              </w:rPr>
              <w:t>Define logo order, endorsement language, announcement rules and minimum contractual evidence.</w:t>
            </w:r>
          </w:p>
        </w:tc>
      </w:tr>
      <w:tr w:rsidR="00FD67E1">
        <w:trPr>
          <w:cantSplit/>
          <w:jc w:val="center"/>
        </w:trPr>
        <w:tc>
          <w:tcPr>
            <w:tcW w:w="2880" w:type="dxa"/>
            <w:shd w:val="clear" w:color="auto" w:fill="F4F7F8"/>
            <w:tcMar>
              <w:top w:w="80" w:type="dxa"/>
              <w:left w:w="100" w:type="dxa"/>
              <w:bottom w:w="80" w:type="dxa"/>
              <w:right w:w="100" w:type="dxa"/>
            </w:tcMar>
            <w:vAlign w:val="center"/>
          </w:tcPr>
          <w:p w:rsidR="00FD67E1" w:rsidRDefault="00EE0B9A">
            <w:pPr>
              <w:spacing w:after="0"/>
            </w:pPr>
            <w:r>
              <w:rPr>
                <w:sz w:val="16"/>
              </w:rPr>
              <w:t>Future entities</w:t>
            </w:r>
          </w:p>
        </w:tc>
        <w:tc>
          <w:tcPr>
            <w:tcW w:w="6768" w:type="dxa"/>
            <w:shd w:val="clear" w:color="auto" w:fill="F4F7F8"/>
            <w:tcMar>
              <w:top w:w="80" w:type="dxa"/>
              <w:left w:w="100" w:type="dxa"/>
              <w:bottom w:w="80" w:type="dxa"/>
              <w:right w:w="100" w:type="dxa"/>
            </w:tcMar>
            <w:vAlign w:val="center"/>
          </w:tcPr>
          <w:p w:rsidR="00FD67E1" w:rsidRDefault="00EE0B9A">
            <w:pPr>
              <w:spacing w:after="0"/>
            </w:pPr>
            <w:r>
              <w:rPr>
                <w:sz w:val="16"/>
              </w:rPr>
              <w:t>Provide a repeatable naming decision tree and approval procedure.</w:t>
            </w:r>
          </w:p>
        </w:tc>
      </w:tr>
    </w:tbl>
    <w:p w:rsidR="00FD67E1" w:rsidRDefault="00FD67E1">
      <w:pPr>
        <w:spacing w:after="0"/>
      </w:pPr>
    </w:p>
    <w:p w:rsidR="00FD67E1" w:rsidRDefault="00EE0B9A">
      <w:pPr>
        <w:pStyle w:val="Heading2"/>
      </w:pPr>
      <w:r>
        <w:t>A4 Visual identity system</w:t>
      </w:r>
    </w:p>
    <w:p w:rsidR="00FD67E1" w:rsidRDefault="00EE0B9A">
      <w:r>
        <w:t>The identity must work as an institutional corporate system, a founder-facing ecosystem, a commercial service brand and a digital product family. It must remain effective in Arabic and English, colour and monochrome, physical and digital environments, large-format signage and small mobile interfaces.</w:t>
      </w:r>
    </w:p>
    <w:tbl>
      <w:tblPr>
        <w:tblStyle w:val="TableGrid"/>
        <w:tblW w:w="0" w:type="auto"/>
        <w:jc w:val="center"/>
        <w:tblLook w:val="04A0" w:firstRow="1" w:lastRow="0" w:firstColumn="1" w:lastColumn="0" w:noHBand="0" w:noVBand="1"/>
      </w:tblPr>
      <w:tblGrid>
        <w:gridCol w:w="2088"/>
        <w:gridCol w:w="7560"/>
      </w:tblGrid>
      <w:tr w:rsidR="00FD67E1">
        <w:trPr>
          <w:cantSplit/>
          <w:tblHeader/>
          <w:jc w:val="center"/>
        </w:trPr>
        <w:tc>
          <w:tcPr>
            <w:tcW w:w="2088" w:type="dxa"/>
            <w:shd w:val="clear" w:color="auto" w:fill="13283F"/>
            <w:tcMar>
              <w:top w:w="80" w:type="dxa"/>
              <w:left w:w="100" w:type="dxa"/>
              <w:bottom w:w="80" w:type="dxa"/>
              <w:right w:w="100" w:type="dxa"/>
            </w:tcMar>
          </w:tcPr>
          <w:p w:rsidR="00FD67E1" w:rsidRDefault="00EE0B9A">
            <w:r>
              <w:rPr>
                <w:b/>
                <w:color w:val="FFFFFF"/>
                <w:sz w:val="16"/>
              </w:rPr>
              <w:t>Component</w:t>
            </w:r>
          </w:p>
        </w:tc>
        <w:tc>
          <w:tcPr>
            <w:tcW w:w="7560" w:type="dxa"/>
            <w:shd w:val="clear" w:color="auto" w:fill="13283F"/>
            <w:tcMar>
              <w:top w:w="80" w:type="dxa"/>
              <w:left w:w="100" w:type="dxa"/>
              <w:bottom w:w="80" w:type="dxa"/>
              <w:right w:w="100" w:type="dxa"/>
            </w:tcMar>
          </w:tcPr>
          <w:p w:rsidR="00FD67E1" w:rsidRDefault="00EE0B9A">
            <w:r>
              <w:rPr>
                <w:b/>
                <w:color w:val="FFFFFF"/>
                <w:sz w:val="16"/>
              </w:rPr>
              <w:t>Minimum specification</w:t>
            </w:r>
          </w:p>
        </w:tc>
      </w:tr>
      <w:tr w:rsidR="00FD67E1">
        <w:trPr>
          <w:cantSplit/>
          <w:jc w:val="center"/>
        </w:trPr>
        <w:tc>
          <w:tcPr>
            <w:tcW w:w="2088" w:type="dxa"/>
            <w:tcMar>
              <w:top w:w="80" w:type="dxa"/>
              <w:left w:w="100" w:type="dxa"/>
              <w:bottom w:w="80" w:type="dxa"/>
              <w:right w:w="100" w:type="dxa"/>
            </w:tcMar>
            <w:vAlign w:val="center"/>
          </w:tcPr>
          <w:p w:rsidR="00FD67E1" w:rsidRDefault="00EE0B9A">
            <w:pPr>
              <w:spacing w:after="0"/>
            </w:pPr>
            <w:r>
              <w:rPr>
                <w:sz w:val="16"/>
              </w:rPr>
              <w:t>Logo family</w:t>
            </w:r>
          </w:p>
        </w:tc>
        <w:tc>
          <w:tcPr>
            <w:tcW w:w="7560" w:type="dxa"/>
            <w:tcMar>
              <w:top w:w="80" w:type="dxa"/>
              <w:left w:w="100" w:type="dxa"/>
              <w:bottom w:w="80" w:type="dxa"/>
              <w:right w:w="100" w:type="dxa"/>
            </w:tcMar>
            <w:vAlign w:val="center"/>
          </w:tcPr>
          <w:p w:rsidR="00FD67E1" w:rsidRDefault="00EE0B9A">
            <w:pPr>
              <w:spacing w:after="0"/>
            </w:pPr>
            <w:r>
              <w:rPr>
                <w:sz w:val="16"/>
              </w:rPr>
              <w:t>Primary, secondary, compact, horizontal, vertical, Arabic, English, bilingual, monochrome and reversed variants; clear-space, minimum-size and misuse rules.</w:t>
            </w:r>
          </w:p>
        </w:tc>
      </w:tr>
      <w:tr w:rsidR="00FD67E1">
        <w:trPr>
          <w:cantSplit/>
          <w:jc w:val="center"/>
        </w:trPr>
        <w:tc>
          <w:tcPr>
            <w:tcW w:w="2088" w:type="dxa"/>
            <w:shd w:val="clear" w:color="auto" w:fill="F4F7F8"/>
            <w:tcMar>
              <w:top w:w="80" w:type="dxa"/>
              <w:left w:w="100" w:type="dxa"/>
              <w:bottom w:w="80" w:type="dxa"/>
              <w:right w:w="100" w:type="dxa"/>
            </w:tcMar>
            <w:vAlign w:val="center"/>
          </w:tcPr>
          <w:p w:rsidR="00FD67E1" w:rsidRDefault="00EE0B9A">
            <w:pPr>
              <w:spacing w:after="0"/>
            </w:pPr>
            <w:r>
              <w:rPr>
                <w:sz w:val="16"/>
              </w:rPr>
              <w:t>Entity identities</w:t>
            </w:r>
          </w:p>
        </w:tc>
        <w:tc>
          <w:tcPr>
            <w:tcW w:w="7560" w:type="dxa"/>
            <w:shd w:val="clear" w:color="auto" w:fill="F4F7F8"/>
            <w:tcMar>
              <w:top w:w="80" w:type="dxa"/>
              <w:left w:w="100" w:type="dxa"/>
              <w:bottom w:w="80" w:type="dxa"/>
              <w:right w:w="100" w:type="dxa"/>
            </w:tcMar>
            <w:vAlign w:val="center"/>
          </w:tcPr>
          <w:p w:rsidR="00FD67E1" w:rsidRDefault="00EE0B9A">
            <w:pPr>
              <w:spacing w:after="0"/>
            </w:pPr>
            <w:r>
              <w:rPr>
                <w:sz w:val="16"/>
              </w:rPr>
              <w:t>A controlled visual expression for all five operating companies, with sufficient differentiation for navigation but no competing master brands.</w:t>
            </w:r>
          </w:p>
        </w:tc>
      </w:tr>
      <w:tr w:rsidR="00FD67E1">
        <w:trPr>
          <w:cantSplit/>
          <w:jc w:val="center"/>
        </w:trPr>
        <w:tc>
          <w:tcPr>
            <w:tcW w:w="2088" w:type="dxa"/>
            <w:tcMar>
              <w:top w:w="80" w:type="dxa"/>
              <w:left w:w="100" w:type="dxa"/>
              <w:bottom w:w="80" w:type="dxa"/>
              <w:right w:w="100" w:type="dxa"/>
            </w:tcMar>
            <w:vAlign w:val="center"/>
          </w:tcPr>
          <w:p w:rsidR="00FD67E1" w:rsidRDefault="00EE0B9A">
            <w:pPr>
              <w:spacing w:after="0"/>
            </w:pPr>
            <w:r>
              <w:rPr>
                <w:sz w:val="16"/>
              </w:rPr>
              <w:t>Colour</w:t>
            </w:r>
          </w:p>
        </w:tc>
        <w:tc>
          <w:tcPr>
            <w:tcW w:w="7560" w:type="dxa"/>
            <w:tcMar>
              <w:top w:w="80" w:type="dxa"/>
              <w:left w:w="100" w:type="dxa"/>
              <w:bottom w:w="80" w:type="dxa"/>
              <w:right w:w="100" w:type="dxa"/>
            </w:tcMar>
            <w:vAlign w:val="center"/>
          </w:tcPr>
          <w:p w:rsidR="00FD67E1" w:rsidRDefault="00EE0B9A">
            <w:pPr>
              <w:spacing w:after="0"/>
            </w:pPr>
            <w:r>
              <w:rPr>
                <w:sz w:val="16"/>
              </w:rPr>
              <w:t>Primary, secondary, functional and accessibility palettes; CMYK, RGB, HEX, Pantone where applicable; contrast rules and production tolerances.</w:t>
            </w:r>
          </w:p>
        </w:tc>
      </w:tr>
      <w:tr w:rsidR="00FD67E1">
        <w:trPr>
          <w:cantSplit/>
          <w:jc w:val="center"/>
        </w:trPr>
        <w:tc>
          <w:tcPr>
            <w:tcW w:w="2088" w:type="dxa"/>
            <w:shd w:val="clear" w:color="auto" w:fill="F4F7F8"/>
            <w:tcMar>
              <w:top w:w="80" w:type="dxa"/>
              <w:left w:w="100" w:type="dxa"/>
              <w:bottom w:w="80" w:type="dxa"/>
              <w:right w:w="100" w:type="dxa"/>
            </w:tcMar>
            <w:vAlign w:val="center"/>
          </w:tcPr>
          <w:p w:rsidR="00FD67E1" w:rsidRDefault="00EE0B9A">
            <w:pPr>
              <w:spacing w:after="0"/>
            </w:pPr>
            <w:r>
              <w:rPr>
                <w:sz w:val="16"/>
              </w:rPr>
              <w:t>Typography</w:t>
            </w:r>
          </w:p>
        </w:tc>
        <w:tc>
          <w:tcPr>
            <w:tcW w:w="7560" w:type="dxa"/>
            <w:shd w:val="clear" w:color="auto" w:fill="F4F7F8"/>
            <w:tcMar>
              <w:top w:w="80" w:type="dxa"/>
              <w:left w:w="100" w:type="dxa"/>
              <w:bottom w:w="80" w:type="dxa"/>
              <w:right w:w="100" w:type="dxa"/>
            </w:tcMar>
            <w:vAlign w:val="center"/>
          </w:tcPr>
          <w:p w:rsidR="00FD67E1" w:rsidRDefault="00EE0B9A">
            <w:pPr>
              <w:spacing w:after="0"/>
            </w:pPr>
            <w:r>
              <w:rPr>
                <w:sz w:val="16"/>
              </w:rPr>
              <w:t>Arabic and Latin corporate typefaces, fallbacks, licensing, digital embedding, hierarchy and bilingual composition rules.</w:t>
            </w:r>
          </w:p>
        </w:tc>
      </w:tr>
      <w:tr w:rsidR="00FD67E1">
        <w:trPr>
          <w:cantSplit/>
          <w:jc w:val="center"/>
        </w:trPr>
        <w:tc>
          <w:tcPr>
            <w:tcW w:w="2088" w:type="dxa"/>
            <w:tcMar>
              <w:top w:w="80" w:type="dxa"/>
              <w:left w:w="100" w:type="dxa"/>
              <w:bottom w:w="80" w:type="dxa"/>
              <w:right w:w="100" w:type="dxa"/>
            </w:tcMar>
            <w:vAlign w:val="center"/>
          </w:tcPr>
          <w:p w:rsidR="00FD67E1" w:rsidRDefault="00EE0B9A">
            <w:pPr>
              <w:spacing w:after="0"/>
            </w:pPr>
            <w:r>
              <w:rPr>
                <w:sz w:val="16"/>
              </w:rPr>
              <w:t>Imagery</w:t>
            </w:r>
          </w:p>
        </w:tc>
        <w:tc>
          <w:tcPr>
            <w:tcW w:w="7560" w:type="dxa"/>
            <w:tcMar>
              <w:top w:w="80" w:type="dxa"/>
              <w:left w:w="100" w:type="dxa"/>
              <w:bottom w:w="80" w:type="dxa"/>
              <w:right w:w="100" w:type="dxa"/>
            </w:tcMar>
            <w:vAlign w:val="center"/>
          </w:tcPr>
          <w:p w:rsidR="00FD67E1" w:rsidRDefault="00EE0B9A">
            <w:pPr>
              <w:spacing w:after="0"/>
            </w:pPr>
            <w:r>
              <w:rPr>
                <w:sz w:val="16"/>
              </w:rPr>
              <w:t>Photography principles for people, spaces, founders, Ajman, investment and impact; consent, authenticity, representation and prohibited stock-image patterns.</w:t>
            </w:r>
          </w:p>
        </w:tc>
      </w:tr>
      <w:tr w:rsidR="00FD67E1">
        <w:trPr>
          <w:cantSplit/>
          <w:jc w:val="center"/>
        </w:trPr>
        <w:tc>
          <w:tcPr>
            <w:tcW w:w="2088" w:type="dxa"/>
            <w:shd w:val="clear" w:color="auto" w:fill="F4F7F8"/>
            <w:tcMar>
              <w:top w:w="80" w:type="dxa"/>
              <w:left w:w="100" w:type="dxa"/>
              <w:bottom w:w="80" w:type="dxa"/>
              <w:right w:w="100" w:type="dxa"/>
            </w:tcMar>
            <w:vAlign w:val="center"/>
          </w:tcPr>
          <w:p w:rsidR="00FD67E1" w:rsidRDefault="00EE0B9A">
            <w:pPr>
              <w:spacing w:after="0"/>
            </w:pPr>
            <w:r>
              <w:rPr>
                <w:sz w:val="16"/>
              </w:rPr>
              <w:t>Graphic language</w:t>
            </w:r>
          </w:p>
        </w:tc>
        <w:tc>
          <w:tcPr>
            <w:tcW w:w="7560" w:type="dxa"/>
            <w:shd w:val="clear" w:color="auto" w:fill="F4F7F8"/>
            <w:tcMar>
              <w:top w:w="80" w:type="dxa"/>
              <w:left w:w="100" w:type="dxa"/>
              <w:bottom w:w="80" w:type="dxa"/>
              <w:right w:w="100" w:type="dxa"/>
            </w:tcMar>
            <w:vAlign w:val="center"/>
          </w:tcPr>
          <w:p w:rsidR="00FD67E1" w:rsidRDefault="00EE0B9A">
            <w:pPr>
              <w:spacing w:after="0"/>
            </w:pPr>
            <w:r>
              <w:rPr>
                <w:sz w:val="16"/>
              </w:rPr>
              <w:t>Grid, shapes, patterns, data-visualisation rules, illustration, iconography, maps, infographics and diagrams.</w:t>
            </w:r>
          </w:p>
        </w:tc>
      </w:tr>
      <w:tr w:rsidR="00FD67E1">
        <w:trPr>
          <w:cantSplit/>
          <w:jc w:val="center"/>
        </w:trPr>
        <w:tc>
          <w:tcPr>
            <w:tcW w:w="2088" w:type="dxa"/>
            <w:tcMar>
              <w:top w:w="80" w:type="dxa"/>
              <w:left w:w="100" w:type="dxa"/>
              <w:bottom w:w="80" w:type="dxa"/>
              <w:right w:w="100" w:type="dxa"/>
            </w:tcMar>
            <w:vAlign w:val="center"/>
          </w:tcPr>
          <w:p w:rsidR="00FD67E1" w:rsidRDefault="00EE0B9A">
            <w:pPr>
              <w:spacing w:after="0"/>
            </w:pPr>
            <w:r>
              <w:rPr>
                <w:sz w:val="16"/>
              </w:rPr>
              <w:t>Motion and sound</w:t>
            </w:r>
          </w:p>
        </w:tc>
        <w:tc>
          <w:tcPr>
            <w:tcW w:w="7560" w:type="dxa"/>
            <w:tcMar>
              <w:top w:w="80" w:type="dxa"/>
              <w:left w:w="100" w:type="dxa"/>
              <w:bottom w:w="80" w:type="dxa"/>
              <w:right w:w="100" w:type="dxa"/>
            </w:tcMar>
            <w:vAlign w:val="center"/>
          </w:tcPr>
          <w:p w:rsidR="00FD67E1" w:rsidRDefault="00EE0B9A">
            <w:pPr>
              <w:spacing w:after="0"/>
            </w:pPr>
            <w:r>
              <w:rPr>
                <w:sz w:val="16"/>
              </w:rPr>
              <w:t>Logo motion, transition principles, title cards, lower thirds, subtitles, end cards, sonic use if proposed and accessibility considerations.</w:t>
            </w:r>
          </w:p>
        </w:tc>
      </w:tr>
      <w:tr w:rsidR="00FD67E1">
        <w:trPr>
          <w:cantSplit/>
          <w:jc w:val="center"/>
        </w:trPr>
        <w:tc>
          <w:tcPr>
            <w:tcW w:w="2088" w:type="dxa"/>
            <w:shd w:val="clear" w:color="auto" w:fill="F4F7F8"/>
            <w:tcMar>
              <w:top w:w="80" w:type="dxa"/>
              <w:left w:w="100" w:type="dxa"/>
              <w:bottom w:w="80" w:type="dxa"/>
              <w:right w:w="100" w:type="dxa"/>
            </w:tcMar>
            <w:vAlign w:val="center"/>
          </w:tcPr>
          <w:p w:rsidR="00FD67E1" w:rsidRDefault="00EE0B9A">
            <w:pPr>
              <w:spacing w:after="0"/>
            </w:pPr>
            <w:r>
              <w:rPr>
                <w:sz w:val="16"/>
              </w:rPr>
              <w:t>Accessibility</w:t>
            </w:r>
          </w:p>
        </w:tc>
        <w:tc>
          <w:tcPr>
            <w:tcW w:w="7560" w:type="dxa"/>
            <w:shd w:val="clear" w:color="auto" w:fill="F4F7F8"/>
            <w:tcMar>
              <w:top w:w="80" w:type="dxa"/>
              <w:left w:w="100" w:type="dxa"/>
              <w:bottom w:w="80" w:type="dxa"/>
              <w:right w:w="100" w:type="dxa"/>
            </w:tcMar>
            <w:vAlign w:val="center"/>
          </w:tcPr>
          <w:p w:rsidR="00FD67E1" w:rsidRDefault="00EE0B9A">
            <w:pPr>
              <w:spacing w:after="0"/>
            </w:pPr>
            <w:r>
              <w:rPr>
                <w:sz w:val="16"/>
              </w:rPr>
              <w:t>WCAG-oriented contrast, readable sizes, alt-text approach, subtitles, captions, colour-independent meaning and inclusive representation.</w:t>
            </w:r>
          </w:p>
        </w:tc>
      </w:tr>
      <w:tr w:rsidR="00FD67E1">
        <w:trPr>
          <w:cantSplit/>
          <w:jc w:val="center"/>
        </w:trPr>
        <w:tc>
          <w:tcPr>
            <w:tcW w:w="2088" w:type="dxa"/>
            <w:tcMar>
              <w:top w:w="80" w:type="dxa"/>
              <w:left w:w="100" w:type="dxa"/>
              <w:bottom w:w="80" w:type="dxa"/>
              <w:right w:w="100" w:type="dxa"/>
            </w:tcMar>
            <w:vAlign w:val="center"/>
          </w:tcPr>
          <w:p w:rsidR="00FD67E1" w:rsidRDefault="00EE0B9A">
            <w:pPr>
              <w:spacing w:after="0"/>
            </w:pPr>
            <w:r>
              <w:rPr>
                <w:sz w:val="16"/>
              </w:rPr>
              <w:t>Production files</w:t>
            </w:r>
          </w:p>
        </w:tc>
        <w:tc>
          <w:tcPr>
            <w:tcW w:w="7560" w:type="dxa"/>
            <w:tcMar>
              <w:top w:w="80" w:type="dxa"/>
              <w:left w:w="100" w:type="dxa"/>
              <w:bottom w:w="80" w:type="dxa"/>
              <w:right w:w="100" w:type="dxa"/>
            </w:tcMar>
            <w:vAlign w:val="center"/>
          </w:tcPr>
          <w:p w:rsidR="00FD67E1" w:rsidRDefault="00EE0B9A">
            <w:pPr>
              <w:spacing w:after="0"/>
            </w:pPr>
            <w:r>
              <w:rPr>
                <w:sz w:val="16"/>
              </w:rPr>
              <w:t>AI, EPS, SVG, PDF, PNG, JPG and editable template formats; clean naming, version control and organised folders.</w:t>
            </w:r>
          </w:p>
        </w:tc>
      </w:tr>
    </w:tbl>
    <w:p w:rsidR="00FD67E1" w:rsidRDefault="00FD67E1">
      <w:pPr>
        <w:spacing w:after="0"/>
      </w:pPr>
    </w:p>
    <w:p w:rsidR="00FD67E1" w:rsidRDefault="00EE0B9A">
      <w:pPr>
        <w:pStyle w:val="Heading2"/>
      </w:pPr>
      <w:r>
        <w:t>A5 Brand application inventory</w:t>
      </w:r>
    </w:p>
    <w:tbl>
      <w:tblPr>
        <w:tblStyle w:val="TableGrid"/>
        <w:tblW w:w="0" w:type="auto"/>
        <w:jc w:val="center"/>
        <w:tblLook w:val="04A0" w:firstRow="1" w:lastRow="0" w:firstColumn="1" w:lastColumn="0" w:noHBand="0" w:noVBand="1"/>
      </w:tblPr>
      <w:tblGrid>
        <w:gridCol w:w="1944"/>
        <w:gridCol w:w="7704"/>
      </w:tblGrid>
      <w:tr w:rsidR="00FD67E1">
        <w:trPr>
          <w:cantSplit/>
          <w:tblHeader/>
          <w:jc w:val="center"/>
        </w:trPr>
        <w:tc>
          <w:tcPr>
            <w:tcW w:w="1944" w:type="dxa"/>
            <w:shd w:val="clear" w:color="auto" w:fill="13283F"/>
            <w:tcMar>
              <w:top w:w="80" w:type="dxa"/>
              <w:left w:w="100" w:type="dxa"/>
              <w:bottom w:w="80" w:type="dxa"/>
              <w:right w:w="100" w:type="dxa"/>
            </w:tcMar>
          </w:tcPr>
          <w:p w:rsidR="00FD67E1" w:rsidRDefault="00EE0B9A">
            <w:r>
              <w:rPr>
                <w:b/>
                <w:color w:val="FFFFFF"/>
                <w:sz w:val="16"/>
              </w:rPr>
              <w:t>Category</w:t>
            </w:r>
          </w:p>
        </w:tc>
        <w:tc>
          <w:tcPr>
            <w:tcW w:w="7704" w:type="dxa"/>
            <w:shd w:val="clear" w:color="auto" w:fill="13283F"/>
            <w:tcMar>
              <w:top w:w="80" w:type="dxa"/>
              <w:left w:w="100" w:type="dxa"/>
              <w:bottom w:w="80" w:type="dxa"/>
              <w:right w:w="100" w:type="dxa"/>
            </w:tcMar>
          </w:tcPr>
          <w:p w:rsidR="00FD67E1" w:rsidRDefault="00EE0B9A">
            <w:r>
              <w:rPr>
                <w:b/>
                <w:color w:val="FFFFFF"/>
                <w:sz w:val="16"/>
              </w:rPr>
              <w:t>Applications to design and specify</w:t>
            </w:r>
          </w:p>
        </w:tc>
      </w:tr>
      <w:tr w:rsidR="00FD67E1">
        <w:trPr>
          <w:cantSplit/>
          <w:jc w:val="center"/>
        </w:trPr>
        <w:tc>
          <w:tcPr>
            <w:tcW w:w="1944" w:type="dxa"/>
            <w:tcMar>
              <w:top w:w="80" w:type="dxa"/>
              <w:left w:w="100" w:type="dxa"/>
              <w:bottom w:w="80" w:type="dxa"/>
              <w:right w:w="100" w:type="dxa"/>
            </w:tcMar>
            <w:vAlign w:val="center"/>
          </w:tcPr>
          <w:p w:rsidR="00FD67E1" w:rsidRDefault="00EE0B9A">
            <w:pPr>
              <w:spacing w:after="0"/>
            </w:pPr>
            <w:r>
              <w:rPr>
                <w:sz w:val="16"/>
              </w:rPr>
              <w:t>Corporate</w:t>
            </w:r>
          </w:p>
        </w:tc>
        <w:tc>
          <w:tcPr>
            <w:tcW w:w="7704" w:type="dxa"/>
            <w:tcMar>
              <w:top w:w="80" w:type="dxa"/>
              <w:left w:w="100" w:type="dxa"/>
              <w:bottom w:w="80" w:type="dxa"/>
              <w:right w:w="100" w:type="dxa"/>
            </w:tcMar>
            <w:vAlign w:val="center"/>
          </w:tcPr>
          <w:p w:rsidR="00FD67E1" w:rsidRDefault="00EE0B9A">
            <w:pPr>
              <w:spacing w:after="0"/>
            </w:pPr>
            <w:r>
              <w:rPr>
                <w:sz w:val="16"/>
              </w:rPr>
              <w:t>Letterhead, continuation sheet, envelopes, business cards, email signatures, stamps, memorandum, Board papers, policies, certificates and report covers.</w:t>
            </w:r>
          </w:p>
        </w:tc>
      </w:tr>
      <w:tr w:rsidR="00FD67E1">
        <w:trPr>
          <w:cantSplit/>
          <w:jc w:val="center"/>
        </w:trPr>
        <w:tc>
          <w:tcPr>
            <w:tcW w:w="1944" w:type="dxa"/>
            <w:shd w:val="clear" w:color="auto" w:fill="F4F7F8"/>
            <w:tcMar>
              <w:top w:w="80" w:type="dxa"/>
              <w:left w:w="100" w:type="dxa"/>
              <w:bottom w:w="80" w:type="dxa"/>
              <w:right w:w="100" w:type="dxa"/>
            </w:tcMar>
            <w:vAlign w:val="center"/>
          </w:tcPr>
          <w:p w:rsidR="00FD67E1" w:rsidRDefault="00EE0B9A">
            <w:pPr>
              <w:spacing w:after="0"/>
            </w:pPr>
            <w:r>
              <w:rPr>
                <w:sz w:val="16"/>
              </w:rPr>
              <w:t>Presentations</w:t>
            </w:r>
          </w:p>
        </w:tc>
        <w:tc>
          <w:tcPr>
            <w:tcW w:w="7704" w:type="dxa"/>
            <w:shd w:val="clear" w:color="auto" w:fill="F4F7F8"/>
            <w:tcMar>
              <w:top w:w="80" w:type="dxa"/>
              <w:left w:w="100" w:type="dxa"/>
              <w:bottom w:w="80" w:type="dxa"/>
              <w:right w:w="100" w:type="dxa"/>
            </w:tcMar>
            <w:vAlign w:val="center"/>
          </w:tcPr>
          <w:p w:rsidR="00FD67E1" w:rsidRDefault="00EE0B9A">
            <w:pPr>
              <w:spacing w:after="0"/>
            </w:pPr>
            <w:r>
              <w:rPr>
                <w:sz w:val="16"/>
              </w:rPr>
              <w:t>Group master, entity variants, investor/partner presentation, programme presentation, proposal, speaker deck, data charts and case-study layouts.</w:t>
            </w:r>
          </w:p>
        </w:tc>
      </w:tr>
      <w:tr w:rsidR="00FD67E1">
        <w:trPr>
          <w:cantSplit/>
          <w:jc w:val="center"/>
        </w:trPr>
        <w:tc>
          <w:tcPr>
            <w:tcW w:w="1944" w:type="dxa"/>
            <w:tcMar>
              <w:top w:w="80" w:type="dxa"/>
              <w:left w:w="100" w:type="dxa"/>
              <w:bottom w:w="80" w:type="dxa"/>
              <w:right w:w="100" w:type="dxa"/>
            </w:tcMar>
            <w:vAlign w:val="center"/>
          </w:tcPr>
          <w:p w:rsidR="00FD67E1" w:rsidRDefault="00EE0B9A">
            <w:pPr>
              <w:spacing w:after="0"/>
            </w:pPr>
            <w:r>
              <w:rPr>
                <w:sz w:val="16"/>
              </w:rPr>
              <w:lastRenderedPageBreak/>
              <w:t>Digital</w:t>
            </w:r>
          </w:p>
        </w:tc>
        <w:tc>
          <w:tcPr>
            <w:tcW w:w="7704" w:type="dxa"/>
            <w:tcMar>
              <w:top w:w="80" w:type="dxa"/>
              <w:left w:w="100" w:type="dxa"/>
              <w:bottom w:w="80" w:type="dxa"/>
              <w:right w:w="100" w:type="dxa"/>
            </w:tcMar>
            <w:vAlign w:val="center"/>
          </w:tcPr>
          <w:p w:rsidR="00FD67E1" w:rsidRDefault="00EE0B9A">
            <w:pPr>
              <w:spacing w:after="0"/>
            </w:pPr>
            <w:r>
              <w:rPr>
                <w:sz w:val="16"/>
              </w:rPr>
              <w:t>Website components, social avatars and covers, post/reel/story templates, newsletters, email campaigns, digital advertising and virtual-meeting backgrounds.</w:t>
            </w:r>
          </w:p>
        </w:tc>
      </w:tr>
      <w:tr w:rsidR="00FD67E1">
        <w:trPr>
          <w:cantSplit/>
          <w:jc w:val="center"/>
        </w:trPr>
        <w:tc>
          <w:tcPr>
            <w:tcW w:w="1944" w:type="dxa"/>
            <w:shd w:val="clear" w:color="auto" w:fill="F4F7F8"/>
            <w:tcMar>
              <w:top w:w="80" w:type="dxa"/>
              <w:left w:w="100" w:type="dxa"/>
              <w:bottom w:w="80" w:type="dxa"/>
              <w:right w:w="100" w:type="dxa"/>
            </w:tcMar>
            <w:vAlign w:val="center"/>
          </w:tcPr>
          <w:p w:rsidR="00FD67E1" w:rsidRDefault="00EE0B9A">
            <w:pPr>
              <w:spacing w:after="0"/>
            </w:pPr>
            <w:r>
              <w:rPr>
                <w:sz w:val="16"/>
              </w:rPr>
              <w:t>Programmes</w:t>
            </w:r>
          </w:p>
        </w:tc>
        <w:tc>
          <w:tcPr>
            <w:tcW w:w="7704" w:type="dxa"/>
            <w:shd w:val="clear" w:color="auto" w:fill="F4F7F8"/>
            <w:tcMar>
              <w:top w:w="80" w:type="dxa"/>
              <w:left w:w="100" w:type="dxa"/>
              <w:bottom w:w="80" w:type="dxa"/>
              <w:right w:w="100" w:type="dxa"/>
            </w:tcMar>
            <w:vAlign w:val="center"/>
          </w:tcPr>
          <w:p w:rsidR="00FD67E1" w:rsidRDefault="00EE0B9A">
            <w:pPr>
              <w:spacing w:after="0"/>
            </w:pPr>
            <w:r>
              <w:rPr>
                <w:sz w:val="16"/>
              </w:rPr>
              <w:t>Application pack, cohort identity, acceptance and rejection communications, mentor materials, founder handbook, demo day, certificates and alumni designation.</w:t>
            </w:r>
          </w:p>
        </w:tc>
      </w:tr>
      <w:tr w:rsidR="00FD67E1">
        <w:trPr>
          <w:cantSplit/>
          <w:jc w:val="center"/>
        </w:trPr>
        <w:tc>
          <w:tcPr>
            <w:tcW w:w="1944" w:type="dxa"/>
            <w:tcMar>
              <w:top w:w="80" w:type="dxa"/>
              <w:left w:w="100" w:type="dxa"/>
              <w:bottom w:w="80" w:type="dxa"/>
              <w:right w:w="100" w:type="dxa"/>
            </w:tcMar>
            <w:vAlign w:val="center"/>
          </w:tcPr>
          <w:p w:rsidR="00FD67E1" w:rsidRDefault="00EE0B9A">
            <w:pPr>
              <w:spacing w:after="0"/>
            </w:pPr>
            <w:r>
              <w:rPr>
                <w:sz w:val="16"/>
              </w:rPr>
              <w:t>Investment</w:t>
            </w:r>
          </w:p>
        </w:tc>
        <w:tc>
          <w:tcPr>
            <w:tcW w:w="7704" w:type="dxa"/>
            <w:tcMar>
              <w:top w:w="80" w:type="dxa"/>
              <w:left w:w="100" w:type="dxa"/>
              <w:bottom w:w="80" w:type="dxa"/>
              <w:right w:w="100" w:type="dxa"/>
            </w:tcMar>
            <w:vAlign w:val="center"/>
          </w:tcPr>
          <w:p w:rsidR="00FD67E1" w:rsidRDefault="00EE0B9A">
            <w:pPr>
              <w:spacing w:after="0"/>
            </w:pPr>
            <w:r>
              <w:rPr>
                <w:sz w:val="16"/>
              </w:rPr>
              <w:t>Opportunity teaser, investment memo, portfolio-company profile, disclaimer treatment, reporting template and investor-event applications, subject to regulatory approval.</w:t>
            </w:r>
          </w:p>
        </w:tc>
      </w:tr>
      <w:tr w:rsidR="00FD67E1">
        <w:trPr>
          <w:cantSplit/>
          <w:jc w:val="center"/>
        </w:trPr>
        <w:tc>
          <w:tcPr>
            <w:tcW w:w="1944" w:type="dxa"/>
            <w:shd w:val="clear" w:color="auto" w:fill="F4F7F8"/>
            <w:tcMar>
              <w:top w:w="80" w:type="dxa"/>
              <w:left w:w="100" w:type="dxa"/>
              <w:bottom w:w="80" w:type="dxa"/>
              <w:right w:w="100" w:type="dxa"/>
            </w:tcMar>
            <w:vAlign w:val="center"/>
          </w:tcPr>
          <w:p w:rsidR="00FD67E1" w:rsidRDefault="00EE0B9A">
            <w:pPr>
              <w:spacing w:after="0"/>
            </w:pPr>
            <w:r>
              <w:rPr>
                <w:sz w:val="16"/>
              </w:rPr>
              <w:t>Environment</w:t>
            </w:r>
          </w:p>
        </w:tc>
        <w:tc>
          <w:tcPr>
            <w:tcW w:w="7704" w:type="dxa"/>
            <w:shd w:val="clear" w:color="auto" w:fill="F4F7F8"/>
            <w:tcMar>
              <w:top w:w="80" w:type="dxa"/>
              <w:left w:w="100" w:type="dxa"/>
              <w:bottom w:w="80" w:type="dxa"/>
              <w:right w:w="100" w:type="dxa"/>
            </w:tcMar>
            <w:vAlign w:val="center"/>
          </w:tcPr>
          <w:p w:rsidR="00FD67E1" w:rsidRDefault="00EE0B9A">
            <w:pPr>
              <w:spacing w:after="0"/>
            </w:pPr>
            <w:r>
              <w:rPr>
                <w:sz w:val="16"/>
              </w:rPr>
              <w:t>External signage, reception, directory, wayfinding, room names, wall graphics, privacy film, screens, event spaces, accessibility signs and temporary signage.</w:t>
            </w:r>
          </w:p>
        </w:tc>
      </w:tr>
      <w:tr w:rsidR="00FD67E1">
        <w:trPr>
          <w:cantSplit/>
          <w:jc w:val="center"/>
        </w:trPr>
        <w:tc>
          <w:tcPr>
            <w:tcW w:w="1944" w:type="dxa"/>
            <w:tcMar>
              <w:top w:w="80" w:type="dxa"/>
              <w:left w:w="100" w:type="dxa"/>
              <w:bottom w:w="80" w:type="dxa"/>
              <w:right w:w="100" w:type="dxa"/>
            </w:tcMar>
            <w:vAlign w:val="center"/>
          </w:tcPr>
          <w:p w:rsidR="00FD67E1" w:rsidRDefault="00EE0B9A">
            <w:pPr>
              <w:spacing w:after="0"/>
            </w:pPr>
            <w:r>
              <w:rPr>
                <w:sz w:val="16"/>
              </w:rPr>
              <w:t>Events</w:t>
            </w:r>
          </w:p>
        </w:tc>
        <w:tc>
          <w:tcPr>
            <w:tcW w:w="7704" w:type="dxa"/>
            <w:tcMar>
              <w:top w:w="80" w:type="dxa"/>
              <w:left w:w="100" w:type="dxa"/>
              <w:bottom w:w="80" w:type="dxa"/>
              <w:right w:w="100" w:type="dxa"/>
            </w:tcMar>
            <w:vAlign w:val="center"/>
          </w:tcPr>
          <w:p w:rsidR="00FD67E1" w:rsidRDefault="00EE0B9A">
            <w:pPr>
              <w:spacing w:after="0"/>
            </w:pPr>
            <w:r>
              <w:rPr>
                <w:sz w:val="16"/>
              </w:rPr>
              <w:t>Stage, lectern, step-and-repeat, registration, badge, lanyard, invitation, agenda, delegate pack, exhibition, media wall and digital display system.</w:t>
            </w:r>
          </w:p>
        </w:tc>
      </w:tr>
      <w:tr w:rsidR="00FD67E1">
        <w:trPr>
          <w:cantSplit/>
          <w:jc w:val="center"/>
        </w:trPr>
        <w:tc>
          <w:tcPr>
            <w:tcW w:w="1944" w:type="dxa"/>
            <w:shd w:val="clear" w:color="auto" w:fill="F4F7F8"/>
            <w:tcMar>
              <w:top w:w="80" w:type="dxa"/>
              <w:left w:w="100" w:type="dxa"/>
              <w:bottom w:w="80" w:type="dxa"/>
              <w:right w:w="100" w:type="dxa"/>
            </w:tcMar>
            <w:vAlign w:val="center"/>
          </w:tcPr>
          <w:p w:rsidR="00FD67E1" w:rsidRDefault="00EE0B9A">
            <w:pPr>
              <w:spacing w:after="0"/>
            </w:pPr>
            <w:r>
              <w:rPr>
                <w:sz w:val="16"/>
              </w:rPr>
              <w:t>People and culture</w:t>
            </w:r>
          </w:p>
        </w:tc>
        <w:tc>
          <w:tcPr>
            <w:tcW w:w="7704" w:type="dxa"/>
            <w:shd w:val="clear" w:color="auto" w:fill="F4F7F8"/>
            <w:tcMar>
              <w:top w:w="80" w:type="dxa"/>
              <w:left w:w="100" w:type="dxa"/>
              <w:bottom w:w="80" w:type="dxa"/>
              <w:right w:w="100" w:type="dxa"/>
            </w:tcMar>
            <w:vAlign w:val="center"/>
          </w:tcPr>
          <w:p w:rsidR="00FD67E1" w:rsidRDefault="00EE0B9A">
            <w:pPr>
              <w:spacing w:after="0"/>
            </w:pPr>
            <w:r>
              <w:rPr>
                <w:sz w:val="16"/>
              </w:rPr>
              <w:t>ID card, access card, uniforms if required, onboarding pack, vacancies, internal announcements, recognition and employer-brand templates.</w:t>
            </w:r>
          </w:p>
        </w:tc>
      </w:tr>
      <w:tr w:rsidR="00FD67E1">
        <w:trPr>
          <w:cantSplit/>
          <w:jc w:val="center"/>
        </w:trPr>
        <w:tc>
          <w:tcPr>
            <w:tcW w:w="1944" w:type="dxa"/>
            <w:tcMar>
              <w:top w:w="80" w:type="dxa"/>
              <w:left w:w="100" w:type="dxa"/>
              <w:bottom w:w="80" w:type="dxa"/>
              <w:right w:w="100" w:type="dxa"/>
            </w:tcMar>
            <w:vAlign w:val="center"/>
          </w:tcPr>
          <w:p w:rsidR="00FD67E1" w:rsidRDefault="00EE0B9A">
            <w:pPr>
              <w:spacing w:after="0"/>
            </w:pPr>
            <w:r>
              <w:rPr>
                <w:sz w:val="16"/>
              </w:rPr>
              <w:t>Merchandise</w:t>
            </w:r>
          </w:p>
        </w:tc>
        <w:tc>
          <w:tcPr>
            <w:tcW w:w="7704" w:type="dxa"/>
            <w:tcMar>
              <w:top w:w="80" w:type="dxa"/>
              <w:left w:w="100" w:type="dxa"/>
              <w:bottom w:w="80" w:type="dxa"/>
              <w:right w:w="100" w:type="dxa"/>
            </w:tcMar>
            <w:vAlign w:val="center"/>
          </w:tcPr>
          <w:p w:rsidR="00FD67E1" w:rsidRDefault="00EE0B9A">
            <w:pPr>
              <w:spacing w:after="0"/>
            </w:pPr>
            <w:r>
              <w:rPr>
                <w:sz w:val="16"/>
              </w:rPr>
              <w:t>Quality standards and designs for approved merchandise; avoid low-value promotional clutter inconsistent with the positioning.</w:t>
            </w:r>
          </w:p>
        </w:tc>
      </w:tr>
    </w:tbl>
    <w:p w:rsidR="00FD67E1" w:rsidRDefault="00FD67E1">
      <w:pPr>
        <w:spacing w:after="0"/>
      </w:pPr>
    </w:p>
    <w:p w:rsidR="00FD67E1" w:rsidRDefault="00EE0B9A">
      <w:pPr>
        <w:pStyle w:val="Heading2"/>
      </w:pPr>
      <w:r>
        <w:t>A6 Brand acceptance criteria</w:t>
      </w:r>
    </w:p>
    <w:p w:rsidR="00FD67E1" w:rsidRDefault="00EE0B9A">
      <w:pPr>
        <w:pStyle w:val="CompactBullet"/>
      </w:pPr>
      <w:r>
        <w:t>Every approved file is supplied in Arabic, English and bilingual form where applicable.</w:t>
      </w:r>
    </w:p>
    <w:p w:rsidR="00FD67E1" w:rsidRDefault="00EE0B9A">
      <w:pPr>
        <w:pStyle w:val="CompactBullet"/>
      </w:pPr>
      <w:r>
        <w:t>The system clearly distinguishes the six entities at a glance while preserving one master brand.</w:t>
      </w:r>
    </w:p>
    <w:p w:rsidR="00FD67E1" w:rsidRDefault="00EE0B9A">
      <w:pPr>
        <w:pStyle w:val="CompactBullet"/>
      </w:pPr>
      <w:r>
        <w:t>Every design is demonstrated in realistic applications, not assessed only as a logo on a blank page.</w:t>
      </w:r>
    </w:p>
    <w:p w:rsidR="00FD67E1" w:rsidRDefault="00EE0B9A">
      <w:pPr>
        <w:pStyle w:val="CompactBullet"/>
      </w:pPr>
      <w:r>
        <w:t>All fonts, stock assets, photography, music and software components include transferable commercial rights or documented licence terms.</w:t>
      </w:r>
    </w:p>
    <w:p w:rsidR="00FD67E1" w:rsidRDefault="00EE0B9A">
      <w:pPr>
        <w:pStyle w:val="CompactBullet"/>
      </w:pPr>
      <w:r>
        <w:t>The identity passes legibility, contrast, small-size, monochrome, print-production and responsive digital tests.</w:t>
      </w:r>
    </w:p>
    <w:p w:rsidR="00FD67E1" w:rsidRDefault="00EE0B9A">
      <w:pPr>
        <w:pStyle w:val="CompactBullet"/>
      </w:pPr>
      <w:r>
        <w:t>The agency completes a brand-governance workshop, supplies a recorded training session and resolves all agreed handover defects before acceptance.</w:t>
      </w:r>
    </w:p>
    <w:p w:rsidR="00FD67E1" w:rsidRDefault="00EE0B9A">
      <w:pPr>
        <w:pStyle w:val="Heading1"/>
      </w:pPr>
      <w:r>
        <w:t>Schedule B Website and Digital Platform Specification</w:t>
      </w:r>
    </w:p>
    <w:p w:rsidR="00FD67E1" w:rsidRDefault="00EE0B9A">
      <w:pPr>
        <w:pStyle w:val="Heading2"/>
      </w:pPr>
      <w:r>
        <w:t>B1 Digital strategy and information architecture</w:t>
      </w:r>
    </w:p>
    <w:p w:rsidR="00FD67E1" w:rsidRDefault="00EE0B9A">
      <w:r>
        <w:t>The digital estate comprises a standalone Tharaa Holding corporate gateway website and five dedicated operating-company websites. All six websites must use one consistent brand system, shared governance and connected navigation. Together they must explain the ecosystem, direct each audience to the relevant entity or service, convert interest into structured applications or enquiries, and create a reliable data trail from acquisition through response and outcome.</w:t>
      </w:r>
    </w:p>
    <w:tbl>
      <w:tblPr>
        <w:tblStyle w:val="TableGrid"/>
        <w:tblW w:w="0" w:type="auto"/>
        <w:jc w:val="center"/>
        <w:tblLook w:val="04A0" w:firstRow="1" w:lastRow="0" w:firstColumn="1" w:lastColumn="0" w:noHBand="0" w:noVBand="1"/>
      </w:tblPr>
      <w:tblGrid>
        <w:gridCol w:w="2088"/>
        <w:gridCol w:w="7560"/>
      </w:tblGrid>
      <w:tr w:rsidR="00FD67E1">
        <w:trPr>
          <w:cantSplit/>
          <w:tblHeader/>
          <w:jc w:val="center"/>
        </w:trPr>
        <w:tc>
          <w:tcPr>
            <w:tcW w:w="2088" w:type="dxa"/>
            <w:shd w:val="clear" w:color="auto" w:fill="13283F"/>
            <w:tcMar>
              <w:top w:w="80" w:type="dxa"/>
              <w:left w:w="100" w:type="dxa"/>
              <w:bottom w:w="80" w:type="dxa"/>
              <w:right w:w="100" w:type="dxa"/>
            </w:tcMar>
          </w:tcPr>
          <w:p w:rsidR="00FD67E1" w:rsidRDefault="00EE0B9A">
            <w:r>
              <w:rPr>
                <w:b/>
                <w:color w:val="FFFFFF"/>
                <w:sz w:val="16"/>
              </w:rPr>
              <w:t>User journey</w:t>
            </w:r>
          </w:p>
        </w:tc>
        <w:tc>
          <w:tcPr>
            <w:tcW w:w="7560" w:type="dxa"/>
            <w:shd w:val="clear" w:color="auto" w:fill="13283F"/>
            <w:tcMar>
              <w:top w:w="80" w:type="dxa"/>
              <w:left w:w="100" w:type="dxa"/>
              <w:bottom w:w="80" w:type="dxa"/>
              <w:right w:w="100" w:type="dxa"/>
            </w:tcMar>
          </w:tcPr>
          <w:p w:rsidR="00FD67E1" w:rsidRDefault="00EE0B9A">
            <w:r>
              <w:rPr>
                <w:b/>
                <w:color w:val="FFFFFF"/>
                <w:sz w:val="16"/>
              </w:rPr>
              <w:t>Required result</w:t>
            </w:r>
          </w:p>
        </w:tc>
      </w:tr>
      <w:tr w:rsidR="00FD67E1">
        <w:trPr>
          <w:cantSplit/>
          <w:jc w:val="center"/>
        </w:trPr>
        <w:tc>
          <w:tcPr>
            <w:tcW w:w="2088" w:type="dxa"/>
            <w:tcMar>
              <w:top w:w="80" w:type="dxa"/>
              <w:left w:w="100" w:type="dxa"/>
              <w:bottom w:w="80" w:type="dxa"/>
              <w:right w:w="100" w:type="dxa"/>
            </w:tcMar>
            <w:vAlign w:val="center"/>
          </w:tcPr>
          <w:p w:rsidR="00FD67E1" w:rsidRDefault="00EE0B9A">
            <w:pPr>
              <w:spacing w:after="0"/>
            </w:pPr>
            <w:r>
              <w:rPr>
                <w:sz w:val="16"/>
              </w:rPr>
              <w:t>Founder or SME</w:t>
            </w:r>
          </w:p>
        </w:tc>
        <w:tc>
          <w:tcPr>
            <w:tcW w:w="7560" w:type="dxa"/>
            <w:tcMar>
              <w:top w:w="80" w:type="dxa"/>
              <w:left w:w="100" w:type="dxa"/>
              <w:bottom w:w="80" w:type="dxa"/>
              <w:right w:w="100" w:type="dxa"/>
            </w:tcMar>
            <w:vAlign w:val="center"/>
          </w:tcPr>
          <w:p w:rsidR="00FD67E1" w:rsidRDefault="00EE0B9A">
            <w:pPr>
              <w:spacing w:after="0"/>
            </w:pPr>
            <w:r>
              <w:rPr>
                <w:sz w:val="16"/>
              </w:rPr>
              <w:t>Understand the relevant programme, workspace, service or investment pathway; confirm eligibility; apply or enquire; receive confirmation and status communications.</w:t>
            </w:r>
          </w:p>
        </w:tc>
      </w:tr>
      <w:tr w:rsidR="00FD67E1">
        <w:trPr>
          <w:cantSplit/>
          <w:jc w:val="center"/>
        </w:trPr>
        <w:tc>
          <w:tcPr>
            <w:tcW w:w="2088" w:type="dxa"/>
            <w:shd w:val="clear" w:color="auto" w:fill="F4F7F8"/>
            <w:tcMar>
              <w:top w:w="80" w:type="dxa"/>
              <w:left w:w="100" w:type="dxa"/>
              <w:bottom w:w="80" w:type="dxa"/>
              <w:right w:w="100" w:type="dxa"/>
            </w:tcMar>
            <w:vAlign w:val="center"/>
          </w:tcPr>
          <w:p w:rsidR="00FD67E1" w:rsidRDefault="00EE0B9A">
            <w:pPr>
              <w:spacing w:after="0"/>
            </w:pPr>
            <w:r>
              <w:rPr>
                <w:sz w:val="16"/>
              </w:rPr>
              <w:t>Investor</w:t>
            </w:r>
          </w:p>
        </w:tc>
        <w:tc>
          <w:tcPr>
            <w:tcW w:w="7560" w:type="dxa"/>
            <w:shd w:val="clear" w:color="auto" w:fill="F4F7F8"/>
            <w:tcMar>
              <w:top w:w="80" w:type="dxa"/>
              <w:left w:w="100" w:type="dxa"/>
              <w:bottom w:w="80" w:type="dxa"/>
              <w:right w:w="100" w:type="dxa"/>
            </w:tcMar>
            <w:vAlign w:val="center"/>
          </w:tcPr>
          <w:p w:rsidR="00FD67E1" w:rsidRDefault="00EE0B9A">
            <w:pPr>
              <w:spacing w:after="0"/>
            </w:pPr>
            <w:r>
              <w:rPr>
                <w:sz w:val="16"/>
              </w:rPr>
              <w:t>Understand Tharaa Capital’s approved mandate; view authorised opportunities or portfolio information; register interest through a qualified and compliant route.</w:t>
            </w:r>
          </w:p>
        </w:tc>
      </w:tr>
      <w:tr w:rsidR="00FD67E1">
        <w:trPr>
          <w:cantSplit/>
          <w:jc w:val="center"/>
        </w:trPr>
        <w:tc>
          <w:tcPr>
            <w:tcW w:w="2088" w:type="dxa"/>
            <w:tcMar>
              <w:top w:w="80" w:type="dxa"/>
              <w:left w:w="100" w:type="dxa"/>
              <w:bottom w:w="80" w:type="dxa"/>
              <w:right w:w="100" w:type="dxa"/>
            </w:tcMar>
            <w:vAlign w:val="center"/>
          </w:tcPr>
          <w:p w:rsidR="00FD67E1" w:rsidRDefault="00EE0B9A">
            <w:pPr>
              <w:spacing w:after="0"/>
            </w:pPr>
            <w:r>
              <w:rPr>
                <w:sz w:val="16"/>
              </w:rPr>
              <w:t>Corporate or government partner</w:t>
            </w:r>
          </w:p>
        </w:tc>
        <w:tc>
          <w:tcPr>
            <w:tcW w:w="7560" w:type="dxa"/>
            <w:tcMar>
              <w:top w:w="80" w:type="dxa"/>
              <w:left w:w="100" w:type="dxa"/>
              <w:bottom w:w="80" w:type="dxa"/>
              <w:right w:w="100" w:type="dxa"/>
            </w:tcMar>
            <w:vAlign w:val="center"/>
          </w:tcPr>
          <w:p w:rsidR="00FD67E1" w:rsidRDefault="00EE0B9A">
            <w:pPr>
              <w:spacing w:after="0"/>
            </w:pPr>
            <w:r>
              <w:rPr>
                <w:sz w:val="16"/>
              </w:rPr>
              <w:t>Identify innovation, outsourcing, sponsorship, programme-delivery or partnership routes and submit a structured enquiry.</w:t>
            </w:r>
          </w:p>
        </w:tc>
      </w:tr>
      <w:tr w:rsidR="00FD67E1">
        <w:trPr>
          <w:cantSplit/>
          <w:jc w:val="center"/>
        </w:trPr>
        <w:tc>
          <w:tcPr>
            <w:tcW w:w="2088" w:type="dxa"/>
            <w:shd w:val="clear" w:color="auto" w:fill="F4F7F8"/>
            <w:tcMar>
              <w:top w:w="80" w:type="dxa"/>
              <w:left w:w="100" w:type="dxa"/>
              <w:bottom w:w="80" w:type="dxa"/>
              <w:right w:w="100" w:type="dxa"/>
            </w:tcMar>
            <w:vAlign w:val="center"/>
          </w:tcPr>
          <w:p w:rsidR="00FD67E1" w:rsidRDefault="00EE0B9A">
            <w:pPr>
              <w:spacing w:after="0"/>
            </w:pPr>
            <w:r>
              <w:rPr>
                <w:sz w:val="16"/>
              </w:rPr>
              <w:t>Chamber member</w:t>
            </w:r>
          </w:p>
        </w:tc>
        <w:tc>
          <w:tcPr>
            <w:tcW w:w="7560" w:type="dxa"/>
            <w:shd w:val="clear" w:color="auto" w:fill="F4F7F8"/>
            <w:tcMar>
              <w:top w:w="80" w:type="dxa"/>
              <w:left w:w="100" w:type="dxa"/>
              <w:bottom w:w="80" w:type="dxa"/>
              <w:right w:w="100" w:type="dxa"/>
            </w:tcMar>
            <w:vAlign w:val="center"/>
          </w:tcPr>
          <w:p w:rsidR="00FD67E1" w:rsidRDefault="00EE0B9A">
            <w:pPr>
              <w:spacing w:after="0"/>
            </w:pPr>
            <w:r>
              <w:rPr>
                <w:sz w:val="16"/>
              </w:rPr>
              <w:t>Recognise services available to member businesses and reach the correct entity without understanding the internal corporate structure.</w:t>
            </w:r>
          </w:p>
        </w:tc>
      </w:tr>
      <w:tr w:rsidR="00FD67E1">
        <w:trPr>
          <w:cantSplit/>
          <w:jc w:val="center"/>
        </w:trPr>
        <w:tc>
          <w:tcPr>
            <w:tcW w:w="2088" w:type="dxa"/>
            <w:tcMar>
              <w:top w:w="80" w:type="dxa"/>
              <w:left w:w="100" w:type="dxa"/>
              <w:bottom w:w="80" w:type="dxa"/>
              <w:right w:w="100" w:type="dxa"/>
            </w:tcMar>
            <w:vAlign w:val="center"/>
          </w:tcPr>
          <w:p w:rsidR="00FD67E1" w:rsidRDefault="00EE0B9A">
            <w:pPr>
              <w:spacing w:after="0"/>
            </w:pPr>
            <w:r>
              <w:rPr>
                <w:sz w:val="16"/>
              </w:rPr>
              <w:t>International entrant</w:t>
            </w:r>
          </w:p>
        </w:tc>
        <w:tc>
          <w:tcPr>
            <w:tcW w:w="7560" w:type="dxa"/>
            <w:tcMar>
              <w:top w:w="80" w:type="dxa"/>
              <w:left w:w="100" w:type="dxa"/>
              <w:bottom w:w="80" w:type="dxa"/>
              <w:right w:w="100" w:type="dxa"/>
            </w:tcMar>
            <w:vAlign w:val="center"/>
          </w:tcPr>
          <w:p w:rsidR="00FD67E1" w:rsidRDefault="00EE0B9A">
            <w:pPr>
              <w:spacing w:after="0"/>
            </w:pPr>
            <w:r>
              <w:rPr>
                <w:sz w:val="16"/>
              </w:rPr>
              <w:t>Understand why Ajman, available market-entry support and the next step for establishment or partnership.</w:t>
            </w:r>
          </w:p>
        </w:tc>
      </w:tr>
      <w:tr w:rsidR="00FD67E1">
        <w:trPr>
          <w:cantSplit/>
          <w:jc w:val="center"/>
        </w:trPr>
        <w:tc>
          <w:tcPr>
            <w:tcW w:w="2088" w:type="dxa"/>
            <w:shd w:val="clear" w:color="auto" w:fill="F4F7F8"/>
            <w:tcMar>
              <w:top w:w="80" w:type="dxa"/>
              <w:left w:w="100" w:type="dxa"/>
              <w:bottom w:w="80" w:type="dxa"/>
              <w:right w:w="100" w:type="dxa"/>
            </w:tcMar>
            <w:vAlign w:val="center"/>
          </w:tcPr>
          <w:p w:rsidR="00FD67E1" w:rsidRDefault="00EE0B9A">
            <w:pPr>
              <w:spacing w:after="0"/>
            </w:pPr>
            <w:r>
              <w:rPr>
                <w:sz w:val="16"/>
              </w:rPr>
              <w:t>Media</w:t>
            </w:r>
          </w:p>
        </w:tc>
        <w:tc>
          <w:tcPr>
            <w:tcW w:w="7560" w:type="dxa"/>
            <w:shd w:val="clear" w:color="auto" w:fill="F4F7F8"/>
            <w:tcMar>
              <w:top w:w="80" w:type="dxa"/>
              <w:left w:w="100" w:type="dxa"/>
              <w:bottom w:w="80" w:type="dxa"/>
              <w:right w:w="100" w:type="dxa"/>
            </w:tcMar>
            <w:vAlign w:val="center"/>
          </w:tcPr>
          <w:p w:rsidR="00FD67E1" w:rsidRDefault="00EE0B9A">
            <w:pPr>
              <w:spacing w:after="0"/>
            </w:pPr>
            <w:r>
              <w:rPr>
                <w:sz w:val="16"/>
              </w:rPr>
              <w:t>Access approved facts, leadership profiles, releases, images and media contact details.</w:t>
            </w:r>
          </w:p>
        </w:tc>
      </w:tr>
      <w:tr w:rsidR="00FD67E1">
        <w:trPr>
          <w:cantSplit/>
          <w:jc w:val="center"/>
        </w:trPr>
        <w:tc>
          <w:tcPr>
            <w:tcW w:w="2088" w:type="dxa"/>
            <w:tcMar>
              <w:top w:w="80" w:type="dxa"/>
              <w:left w:w="100" w:type="dxa"/>
              <w:bottom w:w="80" w:type="dxa"/>
              <w:right w:w="100" w:type="dxa"/>
            </w:tcMar>
            <w:vAlign w:val="center"/>
          </w:tcPr>
          <w:p w:rsidR="00FD67E1" w:rsidRDefault="00EE0B9A">
            <w:pPr>
              <w:spacing w:after="0"/>
            </w:pPr>
            <w:r>
              <w:rPr>
                <w:sz w:val="16"/>
              </w:rPr>
              <w:t>Applicant or candidate</w:t>
            </w:r>
          </w:p>
        </w:tc>
        <w:tc>
          <w:tcPr>
            <w:tcW w:w="7560" w:type="dxa"/>
            <w:tcMar>
              <w:top w:w="80" w:type="dxa"/>
              <w:left w:w="100" w:type="dxa"/>
              <w:bottom w:w="80" w:type="dxa"/>
              <w:right w:w="100" w:type="dxa"/>
            </w:tcMar>
            <w:vAlign w:val="center"/>
          </w:tcPr>
          <w:p w:rsidR="00FD67E1" w:rsidRDefault="00EE0B9A">
            <w:pPr>
              <w:spacing w:after="0"/>
            </w:pPr>
            <w:r>
              <w:rPr>
                <w:sz w:val="16"/>
              </w:rPr>
              <w:t>Find programmes and careers, submit information securely, receive consent notices and understand expected response times.</w:t>
            </w:r>
          </w:p>
        </w:tc>
      </w:tr>
    </w:tbl>
    <w:p w:rsidR="00FD67E1" w:rsidRDefault="00FD67E1">
      <w:pPr>
        <w:spacing w:after="0"/>
      </w:pPr>
    </w:p>
    <w:p w:rsidR="00FD67E1" w:rsidRDefault="00EE0B9A">
      <w:pPr>
        <w:pStyle w:val="Heading2"/>
      </w:pPr>
      <w:r>
        <w:t>B2 Functional requirements</w:t>
      </w:r>
    </w:p>
    <w:tbl>
      <w:tblPr>
        <w:tblStyle w:val="TableGrid"/>
        <w:tblW w:w="0" w:type="auto"/>
        <w:jc w:val="center"/>
        <w:tblLook w:val="04A0" w:firstRow="1" w:lastRow="0" w:firstColumn="1" w:lastColumn="0" w:noHBand="0" w:noVBand="1"/>
      </w:tblPr>
      <w:tblGrid>
        <w:gridCol w:w="1872"/>
        <w:gridCol w:w="6552"/>
        <w:gridCol w:w="1224"/>
      </w:tblGrid>
      <w:tr w:rsidR="00FD67E1">
        <w:trPr>
          <w:cantSplit/>
          <w:tblHeader/>
          <w:jc w:val="center"/>
        </w:trPr>
        <w:tc>
          <w:tcPr>
            <w:tcW w:w="1872" w:type="dxa"/>
            <w:shd w:val="clear" w:color="auto" w:fill="13283F"/>
            <w:tcMar>
              <w:top w:w="80" w:type="dxa"/>
              <w:left w:w="100" w:type="dxa"/>
              <w:bottom w:w="80" w:type="dxa"/>
              <w:right w:w="100" w:type="dxa"/>
            </w:tcMar>
          </w:tcPr>
          <w:p w:rsidR="00FD67E1" w:rsidRDefault="00EE0B9A">
            <w:r>
              <w:rPr>
                <w:b/>
                <w:color w:val="FFFFFF"/>
                <w:sz w:val="16"/>
              </w:rPr>
              <w:t>Function</w:t>
            </w:r>
          </w:p>
        </w:tc>
        <w:tc>
          <w:tcPr>
            <w:tcW w:w="6552" w:type="dxa"/>
            <w:shd w:val="clear" w:color="auto" w:fill="13283F"/>
            <w:tcMar>
              <w:top w:w="80" w:type="dxa"/>
              <w:left w:w="100" w:type="dxa"/>
              <w:bottom w:w="80" w:type="dxa"/>
              <w:right w:w="100" w:type="dxa"/>
            </w:tcMar>
          </w:tcPr>
          <w:p w:rsidR="00FD67E1" w:rsidRDefault="00EE0B9A">
            <w:r>
              <w:rPr>
                <w:b/>
                <w:color w:val="FFFFFF"/>
                <w:sz w:val="16"/>
              </w:rPr>
              <w:t>Requirement</w:t>
            </w:r>
          </w:p>
        </w:tc>
        <w:tc>
          <w:tcPr>
            <w:tcW w:w="1224" w:type="dxa"/>
            <w:shd w:val="clear" w:color="auto" w:fill="13283F"/>
            <w:tcMar>
              <w:top w:w="80" w:type="dxa"/>
              <w:left w:w="100" w:type="dxa"/>
              <w:bottom w:w="80" w:type="dxa"/>
              <w:right w:w="100" w:type="dxa"/>
            </w:tcMar>
          </w:tcPr>
          <w:p w:rsidR="00FD67E1" w:rsidRDefault="00EE0B9A">
            <w:r>
              <w:rPr>
                <w:b/>
                <w:color w:val="FFFFFF"/>
                <w:sz w:val="16"/>
              </w:rPr>
              <w:t>Priority</w:t>
            </w:r>
          </w:p>
        </w:tc>
      </w:tr>
      <w:tr w:rsidR="00FD67E1">
        <w:trPr>
          <w:cantSplit/>
          <w:jc w:val="center"/>
        </w:trPr>
        <w:tc>
          <w:tcPr>
            <w:tcW w:w="1872" w:type="dxa"/>
            <w:tcMar>
              <w:top w:w="80" w:type="dxa"/>
              <w:left w:w="100" w:type="dxa"/>
              <w:bottom w:w="80" w:type="dxa"/>
              <w:right w:w="100" w:type="dxa"/>
            </w:tcMar>
            <w:vAlign w:val="center"/>
          </w:tcPr>
          <w:p w:rsidR="00FD67E1" w:rsidRDefault="00EE0B9A">
            <w:pPr>
              <w:spacing w:after="0"/>
            </w:pPr>
            <w:r>
              <w:rPr>
                <w:sz w:val="16"/>
              </w:rPr>
              <w:t>Bilingual CMS</w:t>
            </w:r>
          </w:p>
        </w:tc>
        <w:tc>
          <w:tcPr>
            <w:tcW w:w="6552" w:type="dxa"/>
            <w:tcMar>
              <w:top w:w="80" w:type="dxa"/>
              <w:left w:w="100" w:type="dxa"/>
              <w:bottom w:w="80" w:type="dxa"/>
              <w:right w:w="100" w:type="dxa"/>
            </w:tcMar>
            <w:vAlign w:val="center"/>
          </w:tcPr>
          <w:p w:rsidR="00FD67E1" w:rsidRDefault="00EE0B9A">
            <w:pPr>
              <w:spacing w:after="0"/>
            </w:pPr>
            <w:r>
              <w:rPr>
                <w:sz w:val="16"/>
              </w:rPr>
              <w:t>True right-to-left and left-to-right authoring; independent Arabic and English content; scheduled publishing; roles, approval and revision history.</w:t>
            </w:r>
          </w:p>
        </w:tc>
        <w:tc>
          <w:tcPr>
            <w:tcW w:w="1224" w:type="dxa"/>
            <w:tcMar>
              <w:top w:w="80" w:type="dxa"/>
              <w:left w:w="100" w:type="dxa"/>
              <w:bottom w:w="80" w:type="dxa"/>
              <w:right w:w="100" w:type="dxa"/>
            </w:tcMar>
            <w:vAlign w:val="center"/>
          </w:tcPr>
          <w:p w:rsidR="00FD67E1" w:rsidRDefault="00EE0B9A">
            <w:pPr>
              <w:spacing w:after="0"/>
            </w:pPr>
            <w:r>
              <w:rPr>
                <w:sz w:val="16"/>
              </w:rPr>
              <w:t>Mandatory</w:t>
            </w:r>
          </w:p>
        </w:tc>
      </w:tr>
      <w:tr w:rsidR="00FD67E1">
        <w:trPr>
          <w:cantSplit/>
          <w:jc w:val="center"/>
        </w:trPr>
        <w:tc>
          <w:tcPr>
            <w:tcW w:w="1872" w:type="dxa"/>
            <w:shd w:val="clear" w:color="auto" w:fill="F4F7F8"/>
            <w:tcMar>
              <w:top w:w="80" w:type="dxa"/>
              <w:left w:w="100" w:type="dxa"/>
              <w:bottom w:w="80" w:type="dxa"/>
              <w:right w:w="100" w:type="dxa"/>
            </w:tcMar>
            <w:vAlign w:val="center"/>
          </w:tcPr>
          <w:p w:rsidR="00FD67E1" w:rsidRDefault="00EE0B9A">
            <w:pPr>
              <w:spacing w:after="0"/>
            </w:pPr>
            <w:r>
              <w:rPr>
                <w:sz w:val="16"/>
              </w:rPr>
              <w:t>Entity architecture</w:t>
            </w:r>
          </w:p>
        </w:tc>
        <w:tc>
          <w:tcPr>
            <w:tcW w:w="6552" w:type="dxa"/>
            <w:shd w:val="clear" w:color="auto" w:fill="F4F7F8"/>
            <w:tcMar>
              <w:top w:w="80" w:type="dxa"/>
              <w:left w:w="100" w:type="dxa"/>
              <w:bottom w:w="80" w:type="dxa"/>
              <w:right w:w="100" w:type="dxa"/>
            </w:tcMar>
            <w:vAlign w:val="center"/>
          </w:tcPr>
          <w:p w:rsidR="00FD67E1" w:rsidRDefault="00EE0B9A">
            <w:pPr>
              <w:spacing w:after="0"/>
            </w:pPr>
            <w:r>
              <w:rPr>
                <w:sz w:val="16"/>
              </w:rPr>
              <w:t>One searchable ecosystem with clear entity destinations, cross-navigation and shared components.</w:t>
            </w:r>
          </w:p>
        </w:tc>
        <w:tc>
          <w:tcPr>
            <w:tcW w:w="1224" w:type="dxa"/>
            <w:shd w:val="clear" w:color="auto" w:fill="F4F7F8"/>
            <w:tcMar>
              <w:top w:w="80" w:type="dxa"/>
              <w:left w:w="100" w:type="dxa"/>
              <w:bottom w:w="80" w:type="dxa"/>
              <w:right w:w="100" w:type="dxa"/>
            </w:tcMar>
            <w:vAlign w:val="center"/>
          </w:tcPr>
          <w:p w:rsidR="00FD67E1" w:rsidRDefault="00EE0B9A">
            <w:pPr>
              <w:spacing w:after="0"/>
            </w:pPr>
            <w:r>
              <w:rPr>
                <w:sz w:val="16"/>
              </w:rPr>
              <w:t>Mandatory</w:t>
            </w:r>
          </w:p>
        </w:tc>
      </w:tr>
      <w:tr w:rsidR="00FD67E1">
        <w:trPr>
          <w:cantSplit/>
          <w:jc w:val="center"/>
        </w:trPr>
        <w:tc>
          <w:tcPr>
            <w:tcW w:w="1872" w:type="dxa"/>
            <w:tcMar>
              <w:top w:w="80" w:type="dxa"/>
              <w:left w:w="100" w:type="dxa"/>
              <w:bottom w:w="80" w:type="dxa"/>
              <w:right w:w="100" w:type="dxa"/>
            </w:tcMar>
            <w:vAlign w:val="center"/>
          </w:tcPr>
          <w:p w:rsidR="00FD67E1" w:rsidRDefault="00EE0B9A">
            <w:pPr>
              <w:spacing w:after="0"/>
            </w:pPr>
            <w:r>
              <w:rPr>
                <w:sz w:val="16"/>
              </w:rPr>
              <w:t>Forms and applications</w:t>
            </w:r>
          </w:p>
        </w:tc>
        <w:tc>
          <w:tcPr>
            <w:tcW w:w="6552" w:type="dxa"/>
            <w:tcMar>
              <w:top w:w="80" w:type="dxa"/>
              <w:left w:w="100" w:type="dxa"/>
              <w:bottom w:w="80" w:type="dxa"/>
              <w:right w:w="100" w:type="dxa"/>
            </w:tcMar>
            <w:vAlign w:val="center"/>
          </w:tcPr>
          <w:p w:rsidR="00FD67E1" w:rsidRDefault="00EE0B9A">
            <w:pPr>
              <w:spacing w:after="0"/>
            </w:pPr>
            <w:r>
              <w:rPr>
                <w:sz w:val="16"/>
              </w:rPr>
              <w:t>Conditional fields, save/resume where necessary, file upload, consent, spam protection, confirmation, routing, export and status integration readiness.</w:t>
            </w:r>
          </w:p>
        </w:tc>
        <w:tc>
          <w:tcPr>
            <w:tcW w:w="1224" w:type="dxa"/>
            <w:tcMar>
              <w:top w:w="80" w:type="dxa"/>
              <w:left w:w="100" w:type="dxa"/>
              <w:bottom w:w="80" w:type="dxa"/>
              <w:right w:w="100" w:type="dxa"/>
            </w:tcMar>
            <w:vAlign w:val="center"/>
          </w:tcPr>
          <w:p w:rsidR="00FD67E1" w:rsidRDefault="00EE0B9A">
            <w:pPr>
              <w:spacing w:after="0"/>
            </w:pPr>
            <w:r>
              <w:rPr>
                <w:sz w:val="16"/>
              </w:rPr>
              <w:t>Mandatory</w:t>
            </w:r>
          </w:p>
        </w:tc>
      </w:tr>
      <w:tr w:rsidR="00FD67E1">
        <w:trPr>
          <w:cantSplit/>
          <w:jc w:val="center"/>
        </w:trPr>
        <w:tc>
          <w:tcPr>
            <w:tcW w:w="1872" w:type="dxa"/>
            <w:shd w:val="clear" w:color="auto" w:fill="F4F7F8"/>
            <w:tcMar>
              <w:top w:w="80" w:type="dxa"/>
              <w:left w:w="100" w:type="dxa"/>
              <w:bottom w:w="80" w:type="dxa"/>
              <w:right w:w="100" w:type="dxa"/>
            </w:tcMar>
            <w:vAlign w:val="center"/>
          </w:tcPr>
          <w:p w:rsidR="00FD67E1" w:rsidRDefault="00EE0B9A">
            <w:pPr>
              <w:spacing w:after="0"/>
            </w:pPr>
            <w:r>
              <w:rPr>
                <w:sz w:val="16"/>
              </w:rPr>
              <w:t>CRM integration</w:t>
            </w:r>
          </w:p>
        </w:tc>
        <w:tc>
          <w:tcPr>
            <w:tcW w:w="6552" w:type="dxa"/>
            <w:shd w:val="clear" w:color="auto" w:fill="F4F7F8"/>
            <w:tcMar>
              <w:top w:w="80" w:type="dxa"/>
              <w:left w:w="100" w:type="dxa"/>
              <w:bottom w:w="80" w:type="dxa"/>
              <w:right w:w="100" w:type="dxa"/>
            </w:tcMar>
            <w:vAlign w:val="center"/>
          </w:tcPr>
          <w:p w:rsidR="00FD67E1" w:rsidRDefault="00EE0B9A">
            <w:pPr>
              <w:spacing w:after="0"/>
            </w:pPr>
            <w:r>
              <w:rPr>
                <w:sz w:val="16"/>
              </w:rPr>
              <w:t>API-ready routing to approved CRM or workflow tools; preserve source, campaign, consent, entity and enquiry type.</w:t>
            </w:r>
          </w:p>
        </w:tc>
        <w:tc>
          <w:tcPr>
            <w:tcW w:w="1224" w:type="dxa"/>
            <w:shd w:val="clear" w:color="auto" w:fill="F4F7F8"/>
            <w:tcMar>
              <w:top w:w="80" w:type="dxa"/>
              <w:left w:w="100" w:type="dxa"/>
              <w:bottom w:w="80" w:type="dxa"/>
              <w:right w:w="100" w:type="dxa"/>
            </w:tcMar>
            <w:vAlign w:val="center"/>
          </w:tcPr>
          <w:p w:rsidR="00FD67E1" w:rsidRDefault="00EE0B9A">
            <w:pPr>
              <w:spacing w:after="0"/>
            </w:pPr>
            <w:r>
              <w:rPr>
                <w:sz w:val="16"/>
              </w:rPr>
              <w:t>Mandatory</w:t>
            </w:r>
          </w:p>
        </w:tc>
      </w:tr>
      <w:tr w:rsidR="00FD67E1">
        <w:trPr>
          <w:cantSplit/>
          <w:jc w:val="center"/>
        </w:trPr>
        <w:tc>
          <w:tcPr>
            <w:tcW w:w="1872" w:type="dxa"/>
            <w:tcMar>
              <w:top w:w="80" w:type="dxa"/>
              <w:left w:w="100" w:type="dxa"/>
              <w:bottom w:w="80" w:type="dxa"/>
              <w:right w:w="100" w:type="dxa"/>
            </w:tcMar>
            <w:vAlign w:val="center"/>
          </w:tcPr>
          <w:p w:rsidR="00FD67E1" w:rsidRDefault="00EE0B9A">
            <w:pPr>
              <w:spacing w:after="0"/>
            </w:pPr>
            <w:r>
              <w:rPr>
                <w:sz w:val="16"/>
              </w:rPr>
              <w:t>Search</w:t>
            </w:r>
          </w:p>
        </w:tc>
        <w:tc>
          <w:tcPr>
            <w:tcW w:w="6552" w:type="dxa"/>
            <w:tcMar>
              <w:top w:w="80" w:type="dxa"/>
              <w:left w:w="100" w:type="dxa"/>
              <w:bottom w:w="80" w:type="dxa"/>
              <w:right w:w="100" w:type="dxa"/>
            </w:tcMar>
            <w:vAlign w:val="center"/>
          </w:tcPr>
          <w:p w:rsidR="00FD67E1" w:rsidRDefault="00EE0B9A">
            <w:pPr>
              <w:spacing w:after="0"/>
            </w:pPr>
            <w:r>
              <w:rPr>
                <w:sz w:val="16"/>
              </w:rPr>
              <w:t>Indexed Arabic and English search with useful empty states and analytics.</w:t>
            </w:r>
          </w:p>
        </w:tc>
        <w:tc>
          <w:tcPr>
            <w:tcW w:w="1224" w:type="dxa"/>
            <w:tcMar>
              <w:top w:w="80" w:type="dxa"/>
              <w:left w:w="100" w:type="dxa"/>
              <w:bottom w:w="80" w:type="dxa"/>
              <w:right w:w="100" w:type="dxa"/>
            </w:tcMar>
            <w:vAlign w:val="center"/>
          </w:tcPr>
          <w:p w:rsidR="00FD67E1" w:rsidRDefault="00EE0B9A">
            <w:pPr>
              <w:spacing w:after="0"/>
            </w:pPr>
            <w:r>
              <w:rPr>
                <w:sz w:val="16"/>
              </w:rPr>
              <w:t>Mandatory</w:t>
            </w:r>
          </w:p>
        </w:tc>
      </w:tr>
      <w:tr w:rsidR="00FD67E1">
        <w:trPr>
          <w:cantSplit/>
          <w:jc w:val="center"/>
        </w:trPr>
        <w:tc>
          <w:tcPr>
            <w:tcW w:w="1872" w:type="dxa"/>
            <w:shd w:val="clear" w:color="auto" w:fill="F4F7F8"/>
            <w:tcMar>
              <w:top w:w="80" w:type="dxa"/>
              <w:left w:w="100" w:type="dxa"/>
              <w:bottom w:w="80" w:type="dxa"/>
              <w:right w:w="100" w:type="dxa"/>
            </w:tcMar>
            <w:vAlign w:val="center"/>
          </w:tcPr>
          <w:p w:rsidR="00FD67E1" w:rsidRDefault="00EE0B9A">
            <w:pPr>
              <w:spacing w:after="0"/>
            </w:pPr>
            <w:r>
              <w:rPr>
                <w:sz w:val="16"/>
              </w:rPr>
              <w:t>Events</w:t>
            </w:r>
          </w:p>
        </w:tc>
        <w:tc>
          <w:tcPr>
            <w:tcW w:w="6552" w:type="dxa"/>
            <w:shd w:val="clear" w:color="auto" w:fill="F4F7F8"/>
            <w:tcMar>
              <w:top w:w="80" w:type="dxa"/>
              <w:left w:w="100" w:type="dxa"/>
              <w:bottom w:w="80" w:type="dxa"/>
              <w:right w:w="100" w:type="dxa"/>
            </w:tcMar>
            <w:vAlign w:val="center"/>
          </w:tcPr>
          <w:p w:rsidR="00FD67E1" w:rsidRDefault="00EE0B9A">
            <w:pPr>
              <w:spacing w:after="0"/>
            </w:pPr>
            <w:r>
              <w:rPr>
                <w:sz w:val="16"/>
              </w:rPr>
              <w:t>Event listings, registration links/forms, capacity/status, calendar compatibility and post-event content.</w:t>
            </w:r>
          </w:p>
        </w:tc>
        <w:tc>
          <w:tcPr>
            <w:tcW w:w="1224" w:type="dxa"/>
            <w:shd w:val="clear" w:color="auto" w:fill="F4F7F8"/>
            <w:tcMar>
              <w:top w:w="80" w:type="dxa"/>
              <w:left w:w="100" w:type="dxa"/>
              <w:bottom w:w="80" w:type="dxa"/>
              <w:right w:w="100" w:type="dxa"/>
            </w:tcMar>
            <w:vAlign w:val="center"/>
          </w:tcPr>
          <w:p w:rsidR="00FD67E1" w:rsidRDefault="00EE0B9A">
            <w:pPr>
              <w:spacing w:after="0"/>
            </w:pPr>
            <w:r>
              <w:rPr>
                <w:sz w:val="16"/>
              </w:rPr>
              <w:t>Mandatory</w:t>
            </w:r>
          </w:p>
        </w:tc>
      </w:tr>
      <w:tr w:rsidR="00FD67E1">
        <w:trPr>
          <w:cantSplit/>
          <w:jc w:val="center"/>
        </w:trPr>
        <w:tc>
          <w:tcPr>
            <w:tcW w:w="1872" w:type="dxa"/>
            <w:tcMar>
              <w:top w:w="80" w:type="dxa"/>
              <w:left w:w="100" w:type="dxa"/>
              <w:bottom w:w="80" w:type="dxa"/>
              <w:right w:w="100" w:type="dxa"/>
            </w:tcMar>
            <w:vAlign w:val="center"/>
          </w:tcPr>
          <w:p w:rsidR="00FD67E1" w:rsidRDefault="00EE0B9A">
            <w:pPr>
              <w:spacing w:after="0"/>
            </w:pPr>
            <w:r>
              <w:rPr>
                <w:sz w:val="16"/>
              </w:rPr>
              <w:t>News and resources</w:t>
            </w:r>
          </w:p>
        </w:tc>
        <w:tc>
          <w:tcPr>
            <w:tcW w:w="6552" w:type="dxa"/>
            <w:tcMar>
              <w:top w:w="80" w:type="dxa"/>
              <w:left w:w="100" w:type="dxa"/>
              <w:bottom w:w="80" w:type="dxa"/>
              <w:right w:w="100" w:type="dxa"/>
            </w:tcMar>
            <w:vAlign w:val="center"/>
          </w:tcPr>
          <w:p w:rsidR="00FD67E1" w:rsidRDefault="00EE0B9A">
            <w:pPr>
              <w:spacing w:after="0"/>
            </w:pPr>
            <w:r>
              <w:rPr>
                <w:sz w:val="16"/>
              </w:rPr>
              <w:t>Releases, insights, case studies, downloadable documents, filters and media library.</w:t>
            </w:r>
          </w:p>
        </w:tc>
        <w:tc>
          <w:tcPr>
            <w:tcW w:w="1224" w:type="dxa"/>
            <w:tcMar>
              <w:top w:w="80" w:type="dxa"/>
              <w:left w:w="100" w:type="dxa"/>
              <w:bottom w:w="80" w:type="dxa"/>
              <w:right w:w="100" w:type="dxa"/>
            </w:tcMar>
            <w:vAlign w:val="center"/>
          </w:tcPr>
          <w:p w:rsidR="00FD67E1" w:rsidRDefault="00EE0B9A">
            <w:pPr>
              <w:spacing w:after="0"/>
            </w:pPr>
            <w:r>
              <w:rPr>
                <w:sz w:val="16"/>
              </w:rPr>
              <w:t>Mandatory</w:t>
            </w:r>
          </w:p>
        </w:tc>
      </w:tr>
      <w:tr w:rsidR="00FD67E1">
        <w:trPr>
          <w:cantSplit/>
          <w:jc w:val="center"/>
        </w:trPr>
        <w:tc>
          <w:tcPr>
            <w:tcW w:w="1872" w:type="dxa"/>
            <w:shd w:val="clear" w:color="auto" w:fill="F4F7F8"/>
            <w:tcMar>
              <w:top w:w="80" w:type="dxa"/>
              <w:left w:w="100" w:type="dxa"/>
              <w:bottom w:w="80" w:type="dxa"/>
              <w:right w:w="100" w:type="dxa"/>
            </w:tcMar>
            <w:vAlign w:val="center"/>
          </w:tcPr>
          <w:p w:rsidR="00FD67E1" w:rsidRDefault="00EE0B9A">
            <w:pPr>
              <w:spacing w:after="0"/>
            </w:pPr>
            <w:r>
              <w:rPr>
                <w:sz w:val="16"/>
              </w:rPr>
              <w:t>Careers</w:t>
            </w:r>
          </w:p>
        </w:tc>
        <w:tc>
          <w:tcPr>
            <w:tcW w:w="6552" w:type="dxa"/>
            <w:shd w:val="clear" w:color="auto" w:fill="F4F7F8"/>
            <w:tcMar>
              <w:top w:w="80" w:type="dxa"/>
              <w:left w:w="100" w:type="dxa"/>
              <w:bottom w:w="80" w:type="dxa"/>
              <w:right w:w="100" w:type="dxa"/>
            </w:tcMar>
            <w:vAlign w:val="center"/>
          </w:tcPr>
          <w:p w:rsidR="00FD67E1" w:rsidRDefault="00EE0B9A">
            <w:pPr>
              <w:spacing w:after="0"/>
            </w:pPr>
            <w:r>
              <w:rPr>
                <w:sz w:val="16"/>
              </w:rPr>
              <w:t>Vacancy listing and approved application routing; no sensitive applicant data sent through insecure email.</w:t>
            </w:r>
          </w:p>
        </w:tc>
        <w:tc>
          <w:tcPr>
            <w:tcW w:w="1224" w:type="dxa"/>
            <w:shd w:val="clear" w:color="auto" w:fill="F4F7F8"/>
            <w:tcMar>
              <w:top w:w="80" w:type="dxa"/>
              <w:left w:w="100" w:type="dxa"/>
              <w:bottom w:w="80" w:type="dxa"/>
              <w:right w:w="100" w:type="dxa"/>
            </w:tcMar>
            <w:vAlign w:val="center"/>
          </w:tcPr>
          <w:p w:rsidR="00FD67E1" w:rsidRDefault="00EE0B9A">
            <w:pPr>
              <w:spacing w:after="0"/>
            </w:pPr>
            <w:r>
              <w:rPr>
                <w:sz w:val="16"/>
              </w:rPr>
              <w:t>Mandatory</w:t>
            </w:r>
          </w:p>
        </w:tc>
      </w:tr>
      <w:tr w:rsidR="00FD67E1">
        <w:trPr>
          <w:cantSplit/>
          <w:jc w:val="center"/>
        </w:trPr>
        <w:tc>
          <w:tcPr>
            <w:tcW w:w="1872" w:type="dxa"/>
            <w:tcMar>
              <w:top w:w="80" w:type="dxa"/>
              <w:left w:w="100" w:type="dxa"/>
              <w:bottom w:w="80" w:type="dxa"/>
              <w:right w:w="100" w:type="dxa"/>
            </w:tcMar>
            <w:vAlign w:val="center"/>
          </w:tcPr>
          <w:p w:rsidR="00FD67E1" w:rsidRDefault="00EE0B9A">
            <w:pPr>
              <w:spacing w:after="0"/>
            </w:pPr>
            <w:r>
              <w:rPr>
                <w:sz w:val="16"/>
              </w:rPr>
              <w:t>Analytics</w:t>
            </w:r>
          </w:p>
        </w:tc>
        <w:tc>
          <w:tcPr>
            <w:tcW w:w="6552" w:type="dxa"/>
            <w:tcMar>
              <w:top w:w="80" w:type="dxa"/>
              <w:left w:w="100" w:type="dxa"/>
              <w:bottom w:w="80" w:type="dxa"/>
              <w:right w:w="100" w:type="dxa"/>
            </w:tcMar>
            <w:vAlign w:val="center"/>
          </w:tcPr>
          <w:p w:rsidR="00FD67E1" w:rsidRDefault="00EE0B9A">
            <w:pPr>
              <w:spacing w:after="0"/>
            </w:pPr>
            <w:r>
              <w:rPr>
                <w:sz w:val="16"/>
              </w:rPr>
              <w:t>GA4 or approved equivalent, tag management, conversion events, campaign parameters, consent controls and dashboard connector.</w:t>
            </w:r>
          </w:p>
        </w:tc>
        <w:tc>
          <w:tcPr>
            <w:tcW w:w="1224" w:type="dxa"/>
            <w:tcMar>
              <w:top w:w="80" w:type="dxa"/>
              <w:left w:w="100" w:type="dxa"/>
              <w:bottom w:w="80" w:type="dxa"/>
              <w:right w:w="100" w:type="dxa"/>
            </w:tcMar>
            <w:vAlign w:val="center"/>
          </w:tcPr>
          <w:p w:rsidR="00FD67E1" w:rsidRDefault="00EE0B9A">
            <w:pPr>
              <w:spacing w:after="0"/>
            </w:pPr>
            <w:r>
              <w:rPr>
                <w:sz w:val="16"/>
              </w:rPr>
              <w:t>Mandatory</w:t>
            </w:r>
          </w:p>
        </w:tc>
      </w:tr>
      <w:tr w:rsidR="00FD67E1">
        <w:trPr>
          <w:cantSplit/>
          <w:jc w:val="center"/>
        </w:trPr>
        <w:tc>
          <w:tcPr>
            <w:tcW w:w="1872" w:type="dxa"/>
            <w:shd w:val="clear" w:color="auto" w:fill="F4F7F8"/>
            <w:tcMar>
              <w:top w:w="80" w:type="dxa"/>
              <w:left w:w="100" w:type="dxa"/>
              <w:bottom w:w="80" w:type="dxa"/>
              <w:right w:w="100" w:type="dxa"/>
            </w:tcMar>
            <w:vAlign w:val="center"/>
          </w:tcPr>
          <w:p w:rsidR="00FD67E1" w:rsidRDefault="00EE0B9A">
            <w:pPr>
              <w:spacing w:after="0"/>
            </w:pPr>
            <w:r>
              <w:rPr>
                <w:sz w:val="16"/>
              </w:rPr>
              <w:t>Personalisation</w:t>
            </w:r>
          </w:p>
        </w:tc>
        <w:tc>
          <w:tcPr>
            <w:tcW w:w="6552" w:type="dxa"/>
            <w:shd w:val="clear" w:color="auto" w:fill="F4F7F8"/>
            <w:tcMar>
              <w:top w:w="80" w:type="dxa"/>
              <w:left w:w="100" w:type="dxa"/>
              <w:bottom w:w="80" w:type="dxa"/>
              <w:right w:w="100" w:type="dxa"/>
            </w:tcMar>
            <w:vAlign w:val="center"/>
          </w:tcPr>
          <w:p w:rsidR="00FD67E1" w:rsidRDefault="00EE0B9A">
            <w:pPr>
              <w:spacing w:after="0"/>
            </w:pPr>
            <w:r>
              <w:rPr>
                <w:sz w:val="16"/>
              </w:rPr>
              <w:t>Audience or campaign-based journeys where privacy-compliant and operationally supportable.</w:t>
            </w:r>
          </w:p>
        </w:tc>
        <w:tc>
          <w:tcPr>
            <w:tcW w:w="1224" w:type="dxa"/>
            <w:shd w:val="clear" w:color="auto" w:fill="F4F7F8"/>
            <w:tcMar>
              <w:top w:w="80" w:type="dxa"/>
              <w:left w:w="100" w:type="dxa"/>
              <w:bottom w:w="80" w:type="dxa"/>
              <w:right w:w="100" w:type="dxa"/>
            </w:tcMar>
            <w:vAlign w:val="center"/>
          </w:tcPr>
          <w:p w:rsidR="00FD67E1" w:rsidRDefault="00EE0B9A">
            <w:pPr>
              <w:spacing w:after="0"/>
            </w:pPr>
            <w:r>
              <w:rPr>
                <w:sz w:val="16"/>
              </w:rPr>
              <w:t>Optional</w:t>
            </w:r>
          </w:p>
        </w:tc>
      </w:tr>
      <w:tr w:rsidR="00FD67E1">
        <w:trPr>
          <w:cantSplit/>
          <w:jc w:val="center"/>
        </w:trPr>
        <w:tc>
          <w:tcPr>
            <w:tcW w:w="1872" w:type="dxa"/>
            <w:tcMar>
              <w:top w:w="80" w:type="dxa"/>
              <w:left w:w="100" w:type="dxa"/>
              <w:bottom w:w="80" w:type="dxa"/>
              <w:right w:w="100" w:type="dxa"/>
            </w:tcMar>
            <w:vAlign w:val="center"/>
          </w:tcPr>
          <w:p w:rsidR="00FD67E1" w:rsidRDefault="00EE0B9A">
            <w:pPr>
              <w:spacing w:after="0"/>
            </w:pPr>
            <w:r>
              <w:rPr>
                <w:sz w:val="16"/>
              </w:rPr>
              <w:t>Founder portal</w:t>
            </w:r>
          </w:p>
        </w:tc>
        <w:tc>
          <w:tcPr>
            <w:tcW w:w="6552" w:type="dxa"/>
            <w:tcMar>
              <w:top w:w="80" w:type="dxa"/>
              <w:left w:w="100" w:type="dxa"/>
              <w:bottom w:w="80" w:type="dxa"/>
              <w:right w:w="100" w:type="dxa"/>
            </w:tcMar>
            <w:vAlign w:val="center"/>
          </w:tcPr>
          <w:p w:rsidR="00FD67E1" w:rsidRDefault="00EE0B9A">
            <w:pPr>
              <w:spacing w:after="0"/>
            </w:pPr>
            <w:r>
              <w:rPr>
                <w:sz w:val="16"/>
              </w:rPr>
              <w:t>Authenticated programme status, resources or community features only if separately approved and priced.</w:t>
            </w:r>
          </w:p>
        </w:tc>
        <w:tc>
          <w:tcPr>
            <w:tcW w:w="1224" w:type="dxa"/>
            <w:tcMar>
              <w:top w:w="80" w:type="dxa"/>
              <w:left w:w="100" w:type="dxa"/>
              <w:bottom w:w="80" w:type="dxa"/>
              <w:right w:w="100" w:type="dxa"/>
            </w:tcMar>
            <w:vAlign w:val="center"/>
          </w:tcPr>
          <w:p w:rsidR="00FD67E1" w:rsidRDefault="00EE0B9A">
            <w:pPr>
              <w:spacing w:after="0"/>
            </w:pPr>
            <w:r>
              <w:rPr>
                <w:sz w:val="16"/>
              </w:rPr>
              <w:t>Optional</w:t>
            </w:r>
          </w:p>
        </w:tc>
      </w:tr>
    </w:tbl>
    <w:p w:rsidR="00FD67E1" w:rsidRDefault="00FD67E1">
      <w:pPr>
        <w:spacing w:after="0"/>
      </w:pPr>
    </w:p>
    <w:p w:rsidR="00FD67E1" w:rsidRDefault="00EE0B9A">
      <w:pPr>
        <w:pStyle w:val="Heading2"/>
      </w:pPr>
      <w:r>
        <w:t>B3 Non-functional and technical requirements</w:t>
      </w:r>
    </w:p>
    <w:p w:rsidR="00FD67E1" w:rsidRDefault="00EE0B9A">
      <w:pPr>
        <w:pStyle w:val="CompactBullet"/>
      </w:pPr>
      <w:r>
        <w:t>Responsive performance across current major mobile, tablet and desktop browsers, with mobile treated as the primary experience.</w:t>
      </w:r>
    </w:p>
    <w:p w:rsidR="00FD67E1" w:rsidRDefault="00EE0B9A">
      <w:pPr>
        <w:pStyle w:val="CompactBullet"/>
      </w:pPr>
      <w:r>
        <w:t>Target Core Web Vitals at launch: LCP at or below 2.5 seconds, INP below 200 milliseconds and CLS below 0.1 at the 75th percentile, subject to agreed hosting and third-party scripts.</w:t>
      </w:r>
    </w:p>
    <w:p w:rsidR="00FD67E1" w:rsidRDefault="00EE0B9A">
      <w:pPr>
        <w:pStyle w:val="CompactBullet"/>
      </w:pPr>
      <w:r>
        <w:t>Accessibility designed and tested against WCAG 2.2 Level AA principles for core templates and journeys.</w:t>
      </w:r>
    </w:p>
    <w:p w:rsidR="00FD67E1" w:rsidRDefault="00EE0B9A">
      <w:pPr>
        <w:pStyle w:val="CompactBullet"/>
      </w:pPr>
      <w:r>
        <w:t>Secure development lifecycle, HTTPS, least-privilege administration, multifactor authentication, dependency management, malware protection, backups, logging and recovery documentation.</w:t>
      </w:r>
    </w:p>
    <w:p w:rsidR="00FD67E1" w:rsidRDefault="00EE0B9A">
      <w:pPr>
        <w:pStyle w:val="CompactBullet"/>
      </w:pPr>
      <w:r>
        <w:t>UAE data-protection compliance and approved hosting/data-residency decisions. The bidder must identify every processor, hosting region and international data transfer.</w:t>
      </w:r>
    </w:p>
    <w:p w:rsidR="00FD67E1" w:rsidRDefault="00EE0B9A">
      <w:pPr>
        <w:pStyle w:val="CompactBullet"/>
      </w:pPr>
      <w:r>
        <w:t>Search-engine optimisation covering Arabic and English metadata, headings, schema, sitemaps, redirects, canonical rules, structured content and performance.</w:t>
      </w:r>
    </w:p>
    <w:p w:rsidR="00FD67E1" w:rsidRDefault="00EE0B9A">
      <w:pPr>
        <w:pStyle w:val="CompactBullet"/>
      </w:pPr>
      <w:r>
        <w:t>No proprietary lock-in. Tharaa must control the domain, hosting account, code repository, CMS super-administrator access, analytics, tags, forms, databases and backups.</w:t>
      </w:r>
    </w:p>
    <w:p w:rsidR="00FD67E1" w:rsidRDefault="00EE0B9A">
      <w:pPr>
        <w:pStyle w:val="CompactBullet"/>
      </w:pPr>
      <w:r>
        <w:t>Documented environments for development, staging and production; controlled deployment and rollback process; no testing with live personal data.</w:t>
      </w:r>
    </w:p>
    <w:p w:rsidR="00FD67E1" w:rsidRDefault="00EE0B9A">
      <w:pPr>
        <w:pStyle w:val="CompactBullet"/>
      </w:pPr>
      <w:r>
        <w:t>Automated daily backup and an agreed retention approach; tested restoration before final acceptance.</w:t>
      </w:r>
    </w:p>
    <w:p w:rsidR="00FD67E1" w:rsidRDefault="00EE0B9A">
      <w:pPr>
        <w:pStyle w:val="CompactBullet"/>
      </w:pPr>
      <w:r>
        <w:t>Compatibility with future integration to CRM, marketing automation, programme management, investor relations and business-intelligence platforms.</w:t>
      </w:r>
    </w:p>
    <w:p w:rsidR="00FD67E1" w:rsidRDefault="00EE0B9A">
      <w:pPr>
        <w:pStyle w:val="Heading2"/>
      </w:pPr>
      <w:r>
        <w:t>B4 Website deliverables and gates</w:t>
      </w:r>
    </w:p>
    <w:tbl>
      <w:tblPr>
        <w:tblStyle w:val="TableGrid"/>
        <w:tblW w:w="0" w:type="auto"/>
        <w:jc w:val="center"/>
        <w:tblLook w:val="04A0" w:firstRow="1" w:lastRow="0" w:firstColumn="1" w:lastColumn="0" w:noHBand="0" w:noVBand="1"/>
      </w:tblPr>
      <w:tblGrid>
        <w:gridCol w:w="1800"/>
        <w:gridCol w:w="5256"/>
        <w:gridCol w:w="2808"/>
      </w:tblGrid>
      <w:tr w:rsidR="00FD67E1">
        <w:trPr>
          <w:cantSplit/>
          <w:tblHeader/>
          <w:jc w:val="center"/>
        </w:trPr>
        <w:tc>
          <w:tcPr>
            <w:tcW w:w="1800" w:type="dxa"/>
            <w:shd w:val="clear" w:color="auto" w:fill="13283F"/>
            <w:tcMar>
              <w:top w:w="80" w:type="dxa"/>
              <w:left w:w="100" w:type="dxa"/>
              <w:bottom w:w="80" w:type="dxa"/>
              <w:right w:w="100" w:type="dxa"/>
            </w:tcMar>
          </w:tcPr>
          <w:p w:rsidR="00FD67E1" w:rsidRDefault="00EE0B9A">
            <w:r>
              <w:rPr>
                <w:b/>
                <w:color w:val="FFFFFF"/>
                <w:sz w:val="16"/>
              </w:rPr>
              <w:t>Gate</w:t>
            </w:r>
          </w:p>
        </w:tc>
        <w:tc>
          <w:tcPr>
            <w:tcW w:w="5256" w:type="dxa"/>
            <w:shd w:val="clear" w:color="auto" w:fill="13283F"/>
            <w:tcMar>
              <w:top w:w="80" w:type="dxa"/>
              <w:left w:w="100" w:type="dxa"/>
              <w:bottom w:w="80" w:type="dxa"/>
              <w:right w:w="100" w:type="dxa"/>
            </w:tcMar>
          </w:tcPr>
          <w:p w:rsidR="00FD67E1" w:rsidRDefault="00EE0B9A">
            <w:r>
              <w:rPr>
                <w:b/>
                <w:color w:val="FFFFFF"/>
                <w:sz w:val="16"/>
              </w:rPr>
              <w:t>Required approval material</w:t>
            </w:r>
          </w:p>
        </w:tc>
        <w:tc>
          <w:tcPr>
            <w:tcW w:w="2808" w:type="dxa"/>
            <w:shd w:val="clear" w:color="auto" w:fill="13283F"/>
            <w:tcMar>
              <w:top w:w="80" w:type="dxa"/>
              <w:left w:w="100" w:type="dxa"/>
              <w:bottom w:w="80" w:type="dxa"/>
              <w:right w:w="100" w:type="dxa"/>
            </w:tcMar>
          </w:tcPr>
          <w:p w:rsidR="00FD67E1" w:rsidRDefault="00EE0B9A">
            <w:r>
              <w:rPr>
                <w:b/>
                <w:color w:val="FFFFFF"/>
                <w:sz w:val="16"/>
              </w:rPr>
              <w:t>Acceptance condition</w:t>
            </w:r>
          </w:p>
        </w:tc>
      </w:tr>
      <w:tr w:rsidR="00FD67E1">
        <w:trPr>
          <w:cantSplit/>
          <w:jc w:val="center"/>
        </w:trPr>
        <w:tc>
          <w:tcPr>
            <w:tcW w:w="1800" w:type="dxa"/>
            <w:tcMar>
              <w:top w:w="80" w:type="dxa"/>
              <w:left w:w="100" w:type="dxa"/>
              <w:bottom w:w="80" w:type="dxa"/>
              <w:right w:w="100" w:type="dxa"/>
            </w:tcMar>
            <w:vAlign w:val="center"/>
          </w:tcPr>
          <w:p w:rsidR="00FD67E1" w:rsidRDefault="00EE0B9A">
            <w:pPr>
              <w:spacing w:after="0"/>
            </w:pPr>
            <w:r>
              <w:rPr>
                <w:sz w:val="16"/>
              </w:rPr>
              <w:lastRenderedPageBreak/>
              <w:t>1 Strategy</w:t>
            </w:r>
          </w:p>
        </w:tc>
        <w:tc>
          <w:tcPr>
            <w:tcW w:w="5256" w:type="dxa"/>
            <w:tcMar>
              <w:top w:w="80" w:type="dxa"/>
              <w:left w:w="100" w:type="dxa"/>
              <w:bottom w:w="80" w:type="dxa"/>
              <w:right w:w="100" w:type="dxa"/>
            </w:tcMar>
            <w:vAlign w:val="center"/>
          </w:tcPr>
          <w:p w:rsidR="00FD67E1" w:rsidRDefault="00EE0B9A">
            <w:pPr>
              <w:spacing w:after="0"/>
            </w:pPr>
            <w:r>
              <w:rPr>
                <w:sz w:val="16"/>
              </w:rPr>
              <w:t>Objectives, audiences, analytics baseline, journeys, sitemap and content model.</w:t>
            </w:r>
          </w:p>
        </w:tc>
        <w:tc>
          <w:tcPr>
            <w:tcW w:w="2808" w:type="dxa"/>
            <w:tcMar>
              <w:top w:w="80" w:type="dxa"/>
              <w:left w:w="100" w:type="dxa"/>
              <w:bottom w:w="80" w:type="dxa"/>
              <w:right w:w="100" w:type="dxa"/>
            </w:tcMar>
            <w:vAlign w:val="center"/>
          </w:tcPr>
          <w:p w:rsidR="00FD67E1" w:rsidRDefault="00EE0B9A">
            <w:pPr>
              <w:spacing w:after="0"/>
            </w:pPr>
            <w:r>
              <w:rPr>
                <w:sz w:val="16"/>
              </w:rPr>
              <w:t>Written approval before wireframing.</w:t>
            </w:r>
          </w:p>
        </w:tc>
      </w:tr>
      <w:tr w:rsidR="00FD67E1">
        <w:trPr>
          <w:cantSplit/>
          <w:jc w:val="center"/>
        </w:trPr>
        <w:tc>
          <w:tcPr>
            <w:tcW w:w="1800" w:type="dxa"/>
            <w:shd w:val="clear" w:color="auto" w:fill="F4F7F8"/>
            <w:tcMar>
              <w:top w:w="80" w:type="dxa"/>
              <w:left w:w="100" w:type="dxa"/>
              <w:bottom w:w="80" w:type="dxa"/>
              <w:right w:w="100" w:type="dxa"/>
            </w:tcMar>
            <w:vAlign w:val="center"/>
          </w:tcPr>
          <w:p w:rsidR="00FD67E1" w:rsidRDefault="00EE0B9A">
            <w:pPr>
              <w:spacing w:after="0"/>
            </w:pPr>
            <w:r>
              <w:rPr>
                <w:sz w:val="16"/>
              </w:rPr>
              <w:t>2 Experience</w:t>
            </w:r>
          </w:p>
        </w:tc>
        <w:tc>
          <w:tcPr>
            <w:tcW w:w="5256" w:type="dxa"/>
            <w:shd w:val="clear" w:color="auto" w:fill="F4F7F8"/>
            <w:tcMar>
              <w:top w:w="80" w:type="dxa"/>
              <w:left w:w="100" w:type="dxa"/>
              <w:bottom w:w="80" w:type="dxa"/>
              <w:right w:w="100" w:type="dxa"/>
            </w:tcMar>
            <w:vAlign w:val="center"/>
          </w:tcPr>
          <w:p w:rsidR="00FD67E1" w:rsidRDefault="00EE0B9A">
            <w:pPr>
              <w:spacing w:after="0"/>
            </w:pPr>
            <w:r>
              <w:rPr>
                <w:sz w:val="16"/>
              </w:rPr>
              <w:t>Desktop/mobile wireframes and tested prototypes for all critical journeys.</w:t>
            </w:r>
          </w:p>
        </w:tc>
        <w:tc>
          <w:tcPr>
            <w:tcW w:w="2808" w:type="dxa"/>
            <w:shd w:val="clear" w:color="auto" w:fill="F4F7F8"/>
            <w:tcMar>
              <w:top w:w="80" w:type="dxa"/>
              <w:left w:w="100" w:type="dxa"/>
              <w:bottom w:w="80" w:type="dxa"/>
              <w:right w:w="100" w:type="dxa"/>
            </w:tcMar>
            <w:vAlign w:val="center"/>
          </w:tcPr>
          <w:p w:rsidR="00FD67E1" w:rsidRDefault="00EE0B9A">
            <w:pPr>
              <w:spacing w:after="0"/>
            </w:pPr>
            <w:r>
              <w:rPr>
                <w:sz w:val="16"/>
              </w:rPr>
              <w:t>Usability issues classified and priority defects resolved.</w:t>
            </w:r>
          </w:p>
        </w:tc>
      </w:tr>
      <w:tr w:rsidR="00FD67E1">
        <w:trPr>
          <w:cantSplit/>
          <w:jc w:val="center"/>
        </w:trPr>
        <w:tc>
          <w:tcPr>
            <w:tcW w:w="1800" w:type="dxa"/>
            <w:tcMar>
              <w:top w:w="80" w:type="dxa"/>
              <w:left w:w="100" w:type="dxa"/>
              <w:bottom w:w="80" w:type="dxa"/>
              <w:right w:w="100" w:type="dxa"/>
            </w:tcMar>
            <w:vAlign w:val="center"/>
          </w:tcPr>
          <w:p w:rsidR="00FD67E1" w:rsidRDefault="00EE0B9A">
            <w:pPr>
              <w:spacing w:after="0"/>
            </w:pPr>
            <w:r>
              <w:rPr>
                <w:sz w:val="16"/>
              </w:rPr>
              <w:t>3 Design</w:t>
            </w:r>
          </w:p>
        </w:tc>
        <w:tc>
          <w:tcPr>
            <w:tcW w:w="5256" w:type="dxa"/>
            <w:tcMar>
              <w:top w:w="80" w:type="dxa"/>
              <w:left w:w="100" w:type="dxa"/>
              <w:bottom w:w="80" w:type="dxa"/>
              <w:right w:w="100" w:type="dxa"/>
            </w:tcMar>
            <w:vAlign w:val="center"/>
          </w:tcPr>
          <w:p w:rsidR="00FD67E1" w:rsidRDefault="00EE0B9A">
            <w:pPr>
              <w:spacing w:after="0"/>
            </w:pPr>
            <w:r>
              <w:rPr>
                <w:sz w:val="16"/>
              </w:rPr>
              <w:t>Complete bilingual responsive UI library and representative page designs.</w:t>
            </w:r>
          </w:p>
        </w:tc>
        <w:tc>
          <w:tcPr>
            <w:tcW w:w="2808" w:type="dxa"/>
            <w:tcMar>
              <w:top w:w="80" w:type="dxa"/>
              <w:left w:w="100" w:type="dxa"/>
              <w:bottom w:w="80" w:type="dxa"/>
              <w:right w:w="100" w:type="dxa"/>
            </w:tcMar>
            <w:vAlign w:val="center"/>
          </w:tcPr>
          <w:p w:rsidR="00FD67E1" w:rsidRDefault="00EE0B9A">
            <w:pPr>
              <w:spacing w:after="0"/>
            </w:pPr>
            <w:r>
              <w:rPr>
                <w:sz w:val="16"/>
              </w:rPr>
              <w:t>Brand, Arabic layout and accessibility approval.</w:t>
            </w:r>
          </w:p>
        </w:tc>
      </w:tr>
      <w:tr w:rsidR="00FD67E1">
        <w:trPr>
          <w:cantSplit/>
          <w:jc w:val="center"/>
        </w:trPr>
        <w:tc>
          <w:tcPr>
            <w:tcW w:w="1800" w:type="dxa"/>
            <w:shd w:val="clear" w:color="auto" w:fill="F4F7F8"/>
            <w:tcMar>
              <w:top w:w="80" w:type="dxa"/>
              <w:left w:w="100" w:type="dxa"/>
              <w:bottom w:w="80" w:type="dxa"/>
              <w:right w:w="100" w:type="dxa"/>
            </w:tcMar>
            <w:vAlign w:val="center"/>
          </w:tcPr>
          <w:p w:rsidR="00FD67E1" w:rsidRDefault="00EE0B9A">
            <w:pPr>
              <w:spacing w:after="0"/>
            </w:pPr>
            <w:r>
              <w:rPr>
                <w:sz w:val="16"/>
              </w:rPr>
              <w:t>4 Build</w:t>
            </w:r>
          </w:p>
        </w:tc>
        <w:tc>
          <w:tcPr>
            <w:tcW w:w="5256" w:type="dxa"/>
            <w:shd w:val="clear" w:color="auto" w:fill="F4F7F8"/>
            <w:tcMar>
              <w:top w:w="80" w:type="dxa"/>
              <w:left w:w="100" w:type="dxa"/>
              <w:bottom w:w="80" w:type="dxa"/>
              <w:right w:w="100" w:type="dxa"/>
            </w:tcMar>
            <w:vAlign w:val="center"/>
          </w:tcPr>
          <w:p w:rsidR="00FD67E1" w:rsidRDefault="00EE0B9A">
            <w:pPr>
              <w:spacing w:after="0"/>
            </w:pPr>
            <w:r>
              <w:rPr>
                <w:sz w:val="16"/>
              </w:rPr>
              <w:t>Staging platform, CMS, forms, integrations, analytics, SEO and security configuration.</w:t>
            </w:r>
          </w:p>
        </w:tc>
        <w:tc>
          <w:tcPr>
            <w:tcW w:w="2808" w:type="dxa"/>
            <w:shd w:val="clear" w:color="auto" w:fill="F4F7F8"/>
            <w:tcMar>
              <w:top w:w="80" w:type="dxa"/>
              <w:left w:w="100" w:type="dxa"/>
              <w:bottom w:w="80" w:type="dxa"/>
              <w:right w:w="100" w:type="dxa"/>
            </w:tcMar>
            <w:vAlign w:val="center"/>
          </w:tcPr>
          <w:p w:rsidR="00FD67E1" w:rsidRDefault="00EE0B9A">
            <w:pPr>
              <w:spacing w:after="0"/>
            </w:pPr>
            <w:r>
              <w:rPr>
                <w:sz w:val="16"/>
              </w:rPr>
              <w:t>Functional QA completed with defect log.</w:t>
            </w:r>
          </w:p>
        </w:tc>
      </w:tr>
      <w:tr w:rsidR="00FD67E1">
        <w:trPr>
          <w:cantSplit/>
          <w:jc w:val="center"/>
        </w:trPr>
        <w:tc>
          <w:tcPr>
            <w:tcW w:w="1800" w:type="dxa"/>
            <w:tcMar>
              <w:top w:w="80" w:type="dxa"/>
              <w:left w:w="100" w:type="dxa"/>
              <w:bottom w:w="80" w:type="dxa"/>
              <w:right w:w="100" w:type="dxa"/>
            </w:tcMar>
            <w:vAlign w:val="center"/>
          </w:tcPr>
          <w:p w:rsidR="00FD67E1" w:rsidRDefault="00EE0B9A">
            <w:pPr>
              <w:spacing w:after="0"/>
            </w:pPr>
            <w:r>
              <w:rPr>
                <w:sz w:val="16"/>
              </w:rPr>
              <w:t>5 Content</w:t>
            </w:r>
          </w:p>
        </w:tc>
        <w:tc>
          <w:tcPr>
            <w:tcW w:w="5256" w:type="dxa"/>
            <w:tcMar>
              <w:top w:w="80" w:type="dxa"/>
              <w:left w:w="100" w:type="dxa"/>
              <w:bottom w:w="80" w:type="dxa"/>
              <w:right w:w="100" w:type="dxa"/>
            </w:tcMar>
            <w:vAlign w:val="center"/>
          </w:tcPr>
          <w:p w:rsidR="00FD67E1" w:rsidRDefault="00EE0B9A">
            <w:pPr>
              <w:spacing w:after="0"/>
            </w:pPr>
            <w:r>
              <w:rPr>
                <w:sz w:val="16"/>
              </w:rPr>
              <w:t>Approved Arabic and English content, metadata, media and legal notices.</w:t>
            </w:r>
          </w:p>
        </w:tc>
        <w:tc>
          <w:tcPr>
            <w:tcW w:w="2808" w:type="dxa"/>
            <w:tcMar>
              <w:top w:w="80" w:type="dxa"/>
              <w:left w:w="100" w:type="dxa"/>
              <w:bottom w:w="80" w:type="dxa"/>
              <w:right w:w="100" w:type="dxa"/>
            </w:tcMar>
            <w:vAlign w:val="center"/>
          </w:tcPr>
          <w:p w:rsidR="00FD67E1" w:rsidRDefault="00EE0B9A">
            <w:pPr>
              <w:spacing w:after="0"/>
            </w:pPr>
            <w:r>
              <w:rPr>
                <w:sz w:val="16"/>
              </w:rPr>
              <w:t>No placeholders or unapproved claims.</w:t>
            </w:r>
          </w:p>
        </w:tc>
      </w:tr>
      <w:tr w:rsidR="00FD67E1">
        <w:trPr>
          <w:cantSplit/>
          <w:jc w:val="center"/>
        </w:trPr>
        <w:tc>
          <w:tcPr>
            <w:tcW w:w="1800" w:type="dxa"/>
            <w:shd w:val="clear" w:color="auto" w:fill="F4F7F8"/>
            <w:tcMar>
              <w:top w:w="80" w:type="dxa"/>
              <w:left w:w="100" w:type="dxa"/>
              <w:bottom w:w="80" w:type="dxa"/>
              <w:right w:w="100" w:type="dxa"/>
            </w:tcMar>
            <w:vAlign w:val="center"/>
          </w:tcPr>
          <w:p w:rsidR="00FD67E1" w:rsidRDefault="00EE0B9A">
            <w:pPr>
              <w:spacing w:after="0"/>
            </w:pPr>
            <w:r>
              <w:rPr>
                <w:sz w:val="16"/>
              </w:rPr>
              <w:t>6 Launch readiness</w:t>
            </w:r>
          </w:p>
        </w:tc>
        <w:tc>
          <w:tcPr>
            <w:tcW w:w="5256" w:type="dxa"/>
            <w:shd w:val="clear" w:color="auto" w:fill="F4F7F8"/>
            <w:tcMar>
              <w:top w:w="80" w:type="dxa"/>
              <w:left w:w="100" w:type="dxa"/>
              <w:bottom w:w="80" w:type="dxa"/>
              <w:right w:w="100" w:type="dxa"/>
            </w:tcMar>
            <w:vAlign w:val="center"/>
          </w:tcPr>
          <w:p w:rsidR="00FD67E1" w:rsidRDefault="00EE0B9A">
            <w:pPr>
              <w:spacing w:after="0"/>
            </w:pPr>
            <w:r>
              <w:rPr>
                <w:sz w:val="16"/>
              </w:rPr>
              <w:t>Performance, accessibility, security, browser, backup, redirect and analytics tests; administrator training and rollback plan.</w:t>
            </w:r>
          </w:p>
        </w:tc>
        <w:tc>
          <w:tcPr>
            <w:tcW w:w="2808" w:type="dxa"/>
            <w:shd w:val="clear" w:color="auto" w:fill="F4F7F8"/>
            <w:tcMar>
              <w:top w:w="80" w:type="dxa"/>
              <w:left w:w="100" w:type="dxa"/>
              <w:bottom w:w="80" w:type="dxa"/>
              <w:right w:w="100" w:type="dxa"/>
            </w:tcMar>
            <w:vAlign w:val="center"/>
          </w:tcPr>
          <w:p w:rsidR="00FD67E1" w:rsidRDefault="00EE0B9A">
            <w:pPr>
              <w:spacing w:after="0"/>
            </w:pPr>
            <w:r>
              <w:rPr>
                <w:sz w:val="16"/>
              </w:rPr>
              <w:t>Joint launch-readiness sign-off.</w:t>
            </w:r>
          </w:p>
        </w:tc>
      </w:tr>
      <w:tr w:rsidR="00FD67E1">
        <w:trPr>
          <w:cantSplit/>
          <w:jc w:val="center"/>
        </w:trPr>
        <w:tc>
          <w:tcPr>
            <w:tcW w:w="1800" w:type="dxa"/>
            <w:tcMar>
              <w:top w:w="80" w:type="dxa"/>
              <w:left w:w="100" w:type="dxa"/>
              <w:bottom w:w="80" w:type="dxa"/>
              <w:right w:w="100" w:type="dxa"/>
            </w:tcMar>
            <w:vAlign w:val="center"/>
          </w:tcPr>
          <w:p w:rsidR="00FD67E1" w:rsidRDefault="00EE0B9A">
            <w:pPr>
              <w:spacing w:after="0"/>
            </w:pPr>
            <w:r>
              <w:rPr>
                <w:sz w:val="16"/>
              </w:rPr>
              <w:t>7 Warranty</w:t>
            </w:r>
          </w:p>
        </w:tc>
        <w:tc>
          <w:tcPr>
            <w:tcW w:w="5256" w:type="dxa"/>
            <w:tcMar>
              <w:top w:w="80" w:type="dxa"/>
              <w:left w:w="100" w:type="dxa"/>
              <w:bottom w:w="80" w:type="dxa"/>
              <w:right w:w="100" w:type="dxa"/>
            </w:tcMar>
            <w:vAlign w:val="center"/>
          </w:tcPr>
          <w:p w:rsidR="00FD67E1" w:rsidRDefault="00EE0B9A">
            <w:pPr>
              <w:spacing w:after="0"/>
            </w:pPr>
            <w:r>
              <w:rPr>
                <w:sz w:val="16"/>
              </w:rPr>
              <w:t>Minimum 90-day defect warranty; bidder must separately price 12 months of maintenance and support.</w:t>
            </w:r>
          </w:p>
        </w:tc>
        <w:tc>
          <w:tcPr>
            <w:tcW w:w="2808" w:type="dxa"/>
            <w:tcMar>
              <w:top w:w="80" w:type="dxa"/>
              <w:left w:w="100" w:type="dxa"/>
              <w:bottom w:w="80" w:type="dxa"/>
              <w:right w:w="100" w:type="dxa"/>
            </w:tcMar>
            <w:vAlign w:val="center"/>
          </w:tcPr>
          <w:p w:rsidR="00FD67E1" w:rsidRDefault="00EE0B9A">
            <w:pPr>
              <w:spacing w:after="0"/>
            </w:pPr>
            <w:r>
              <w:rPr>
                <w:sz w:val="16"/>
              </w:rPr>
              <w:t>Critical/high defects resolved within agreed SLA.</w:t>
            </w:r>
          </w:p>
        </w:tc>
      </w:tr>
    </w:tbl>
    <w:p w:rsidR="00FD67E1" w:rsidRDefault="00FD67E1">
      <w:pPr>
        <w:spacing w:after="0"/>
      </w:pPr>
    </w:p>
    <w:p w:rsidR="00FD67E1" w:rsidRDefault="00EE0B9A">
      <w:pPr>
        <w:pStyle w:val="Heading2"/>
      </w:pPr>
      <w:r>
        <w:t>B5 Content migration and ownership</w:t>
      </w:r>
    </w:p>
    <w:p w:rsidR="00FD67E1" w:rsidRDefault="00EE0B9A">
      <w:r>
        <w:t>The bidder is responsible for content modelling, page inventory, migration, formatting, bilingual entry, metadata, image optimisation, redirect mapping and quality checks for the volume stated in its commercial proposal. Every assumed page, form, language version, content type and migration exclusion must be quantified. Final payment is conditional on administrator access, source code, repositories, design files, credentials, deployment instructions, licences and data exports being handed over and verified.</w:t>
      </w:r>
    </w:p>
    <w:p w:rsidR="00FD67E1" w:rsidRDefault="00EE0B9A">
      <w:r>
        <w:br w:type="page"/>
      </w:r>
    </w:p>
    <w:p w:rsidR="00FD67E1" w:rsidRDefault="00EE0B9A">
      <w:pPr>
        <w:pStyle w:val="Heading1"/>
      </w:pPr>
      <w:r>
        <w:lastRenderedPageBreak/>
        <w:t>Schedule C Public Relations Media and Launch Operations</w:t>
      </w:r>
    </w:p>
    <w:p w:rsidR="00FD67E1" w:rsidRDefault="00EE0B9A">
      <w:pPr>
        <w:pStyle w:val="Heading2"/>
      </w:pPr>
      <w:r>
        <w:t>C1 Communications planning</w:t>
      </w:r>
    </w:p>
    <w:p w:rsidR="00FD67E1" w:rsidRDefault="00EE0B9A">
      <w:r>
        <w:t>The annual plan must connect communications activity to actual business milestones. It must show the intended audience, approved message, evidence, spokesperson, channel, timing, dependency, risk, call to action and measurable result for each initiative. The plan must include the group and all five operating companies without forcing every entity to communicate every month.</w:t>
      </w:r>
    </w:p>
    <w:tbl>
      <w:tblPr>
        <w:tblStyle w:val="TableGrid"/>
        <w:tblW w:w="0" w:type="auto"/>
        <w:jc w:val="center"/>
        <w:tblLook w:val="04A0" w:firstRow="1" w:lastRow="0" w:firstColumn="1" w:lastColumn="0" w:noHBand="0" w:noVBand="1"/>
      </w:tblPr>
      <w:tblGrid>
        <w:gridCol w:w="2232"/>
        <w:gridCol w:w="7416"/>
      </w:tblGrid>
      <w:tr w:rsidR="00FD67E1">
        <w:trPr>
          <w:cantSplit/>
          <w:tblHeader/>
          <w:jc w:val="center"/>
        </w:trPr>
        <w:tc>
          <w:tcPr>
            <w:tcW w:w="2232" w:type="dxa"/>
            <w:shd w:val="clear" w:color="auto" w:fill="13283F"/>
            <w:tcMar>
              <w:top w:w="80" w:type="dxa"/>
              <w:left w:w="100" w:type="dxa"/>
              <w:bottom w:w="80" w:type="dxa"/>
              <w:right w:w="100" w:type="dxa"/>
            </w:tcMar>
          </w:tcPr>
          <w:p w:rsidR="00FD67E1" w:rsidRDefault="00EE0B9A">
            <w:r>
              <w:rPr>
                <w:b/>
                <w:color w:val="FFFFFF"/>
                <w:sz w:val="16"/>
              </w:rPr>
              <w:t>Planning layer</w:t>
            </w:r>
          </w:p>
        </w:tc>
        <w:tc>
          <w:tcPr>
            <w:tcW w:w="7416" w:type="dxa"/>
            <w:shd w:val="clear" w:color="auto" w:fill="13283F"/>
            <w:tcMar>
              <w:top w:w="80" w:type="dxa"/>
              <w:left w:w="100" w:type="dxa"/>
              <w:bottom w:w="80" w:type="dxa"/>
              <w:right w:w="100" w:type="dxa"/>
            </w:tcMar>
          </w:tcPr>
          <w:p w:rsidR="00FD67E1" w:rsidRDefault="00EE0B9A">
            <w:r>
              <w:rPr>
                <w:b/>
                <w:color w:val="FFFFFF"/>
                <w:sz w:val="16"/>
              </w:rPr>
              <w:t>Required detail</w:t>
            </w:r>
          </w:p>
        </w:tc>
      </w:tr>
      <w:tr w:rsidR="00FD67E1">
        <w:trPr>
          <w:cantSplit/>
          <w:jc w:val="center"/>
        </w:trPr>
        <w:tc>
          <w:tcPr>
            <w:tcW w:w="2232" w:type="dxa"/>
            <w:tcMar>
              <w:top w:w="80" w:type="dxa"/>
              <w:left w:w="100" w:type="dxa"/>
              <w:bottom w:w="80" w:type="dxa"/>
              <w:right w:w="100" w:type="dxa"/>
            </w:tcMar>
            <w:vAlign w:val="center"/>
          </w:tcPr>
          <w:p w:rsidR="00FD67E1" w:rsidRDefault="00EE0B9A">
            <w:pPr>
              <w:spacing w:after="0"/>
            </w:pPr>
            <w:r>
              <w:rPr>
                <w:sz w:val="16"/>
              </w:rPr>
              <w:t>Annual narrative</w:t>
            </w:r>
          </w:p>
        </w:tc>
        <w:tc>
          <w:tcPr>
            <w:tcW w:w="7416" w:type="dxa"/>
            <w:tcMar>
              <w:top w:w="80" w:type="dxa"/>
              <w:left w:w="100" w:type="dxa"/>
              <w:bottom w:w="80" w:type="dxa"/>
              <w:right w:w="100" w:type="dxa"/>
            </w:tcMar>
            <w:vAlign w:val="center"/>
          </w:tcPr>
          <w:p w:rsidR="00FD67E1" w:rsidRDefault="00EE0B9A">
            <w:pPr>
              <w:spacing w:after="0"/>
            </w:pPr>
            <w:r>
              <w:rPr>
                <w:sz w:val="16"/>
              </w:rPr>
              <w:t>Four to six narrative priorities linked to Tharaa’s approved operating plan and 2031 direction.</w:t>
            </w:r>
          </w:p>
        </w:tc>
      </w:tr>
      <w:tr w:rsidR="00FD67E1">
        <w:trPr>
          <w:cantSplit/>
          <w:jc w:val="center"/>
        </w:trPr>
        <w:tc>
          <w:tcPr>
            <w:tcW w:w="2232" w:type="dxa"/>
            <w:shd w:val="clear" w:color="auto" w:fill="F4F7F8"/>
            <w:tcMar>
              <w:top w:w="80" w:type="dxa"/>
              <w:left w:w="100" w:type="dxa"/>
              <w:bottom w:w="80" w:type="dxa"/>
              <w:right w:w="100" w:type="dxa"/>
            </w:tcMar>
            <w:vAlign w:val="center"/>
          </w:tcPr>
          <w:p w:rsidR="00FD67E1" w:rsidRDefault="00EE0B9A">
            <w:pPr>
              <w:spacing w:after="0"/>
            </w:pPr>
            <w:r>
              <w:rPr>
                <w:sz w:val="16"/>
              </w:rPr>
              <w:t>Quarterly campaigns</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Business objective, audience, proposition, proof, creative platform, channels, conversion and evaluation.</w:t>
            </w:r>
          </w:p>
        </w:tc>
      </w:tr>
      <w:tr w:rsidR="00FD67E1">
        <w:trPr>
          <w:cantSplit/>
          <w:jc w:val="center"/>
        </w:trPr>
        <w:tc>
          <w:tcPr>
            <w:tcW w:w="2232" w:type="dxa"/>
            <w:tcMar>
              <w:top w:w="80" w:type="dxa"/>
              <w:left w:w="100" w:type="dxa"/>
              <w:bottom w:w="80" w:type="dxa"/>
              <w:right w:w="100" w:type="dxa"/>
            </w:tcMar>
            <w:vAlign w:val="center"/>
          </w:tcPr>
          <w:p w:rsidR="00FD67E1" w:rsidRDefault="00EE0B9A">
            <w:pPr>
              <w:spacing w:after="0"/>
            </w:pPr>
            <w:r>
              <w:rPr>
                <w:sz w:val="16"/>
              </w:rPr>
              <w:t>Announcement pipeline</w:t>
            </w:r>
          </w:p>
        </w:tc>
        <w:tc>
          <w:tcPr>
            <w:tcW w:w="7416" w:type="dxa"/>
            <w:tcMar>
              <w:top w:w="80" w:type="dxa"/>
              <w:left w:w="100" w:type="dxa"/>
              <w:bottom w:w="80" w:type="dxa"/>
              <w:right w:w="100" w:type="dxa"/>
            </w:tcMar>
            <w:vAlign w:val="center"/>
          </w:tcPr>
          <w:p w:rsidR="00FD67E1" w:rsidRDefault="00EE0B9A">
            <w:pPr>
              <w:spacing w:after="0"/>
            </w:pPr>
            <w:r>
              <w:rPr>
                <w:sz w:val="16"/>
              </w:rPr>
              <w:t>Launch, entity milestones, cohorts, partnerships, investments, appointments, events and impact results, each classified by approval readiness.</w:t>
            </w:r>
          </w:p>
        </w:tc>
      </w:tr>
      <w:tr w:rsidR="00FD67E1">
        <w:trPr>
          <w:cantSplit/>
          <w:jc w:val="center"/>
        </w:trPr>
        <w:tc>
          <w:tcPr>
            <w:tcW w:w="2232" w:type="dxa"/>
            <w:shd w:val="clear" w:color="auto" w:fill="F4F7F8"/>
            <w:tcMar>
              <w:top w:w="80" w:type="dxa"/>
              <w:left w:w="100" w:type="dxa"/>
              <w:bottom w:w="80" w:type="dxa"/>
              <w:right w:w="100" w:type="dxa"/>
            </w:tcMar>
            <w:vAlign w:val="center"/>
          </w:tcPr>
          <w:p w:rsidR="00FD67E1" w:rsidRDefault="00EE0B9A">
            <w:pPr>
              <w:spacing w:after="0"/>
            </w:pPr>
            <w:r>
              <w:rPr>
                <w:sz w:val="16"/>
              </w:rPr>
              <w:t>Media programme</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Priority journalists and outlets, relationship objectives, story angles, briefings, exclusives, contributed content and response management.</w:t>
            </w:r>
          </w:p>
        </w:tc>
      </w:tr>
      <w:tr w:rsidR="00FD67E1">
        <w:trPr>
          <w:cantSplit/>
          <w:jc w:val="center"/>
        </w:trPr>
        <w:tc>
          <w:tcPr>
            <w:tcW w:w="2232" w:type="dxa"/>
            <w:tcMar>
              <w:top w:w="80" w:type="dxa"/>
              <w:left w:w="100" w:type="dxa"/>
              <w:bottom w:w="80" w:type="dxa"/>
              <w:right w:w="100" w:type="dxa"/>
            </w:tcMar>
            <w:vAlign w:val="center"/>
          </w:tcPr>
          <w:p w:rsidR="00FD67E1" w:rsidRDefault="00EE0B9A">
            <w:pPr>
              <w:spacing w:after="0"/>
            </w:pPr>
            <w:r>
              <w:rPr>
                <w:sz w:val="16"/>
              </w:rPr>
              <w:t>Executive programme</w:t>
            </w:r>
          </w:p>
        </w:tc>
        <w:tc>
          <w:tcPr>
            <w:tcW w:w="7416" w:type="dxa"/>
            <w:tcMar>
              <w:top w:w="80" w:type="dxa"/>
              <w:left w:w="100" w:type="dxa"/>
              <w:bottom w:w="80" w:type="dxa"/>
              <w:right w:w="100" w:type="dxa"/>
            </w:tcMar>
            <w:vAlign w:val="center"/>
          </w:tcPr>
          <w:p w:rsidR="00FD67E1" w:rsidRDefault="00EE0B9A">
            <w:pPr>
              <w:spacing w:after="0"/>
            </w:pPr>
            <w:r>
              <w:rPr>
                <w:sz w:val="16"/>
              </w:rPr>
              <w:t>Spokesperson positioning, speaking opportunities, media training, thought leadership and LinkedIn content, respecting protocol.</w:t>
            </w:r>
          </w:p>
        </w:tc>
      </w:tr>
      <w:tr w:rsidR="00FD67E1">
        <w:trPr>
          <w:cantSplit/>
          <w:jc w:val="center"/>
        </w:trPr>
        <w:tc>
          <w:tcPr>
            <w:tcW w:w="2232" w:type="dxa"/>
            <w:shd w:val="clear" w:color="auto" w:fill="F4F7F8"/>
            <w:tcMar>
              <w:top w:w="80" w:type="dxa"/>
              <w:left w:w="100" w:type="dxa"/>
              <w:bottom w:w="80" w:type="dxa"/>
              <w:right w:w="100" w:type="dxa"/>
            </w:tcMar>
            <w:vAlign w:val="center"/>
          </w:tcPr>
          <w:p w:rsidR="00FD67E1" w:rsidRDefault="00EE0B9A">
            <w:pPr>
              <w:spacing w:after="0"/>
            </w:pPr>
            <w:r>
              <w:rPr>
                <w:sz w:val="16"/>
              </w:rPr>
              <w:t>Risk plan</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Likely issues, triggers, monitoring terms, owners, escalation, holding material and recovery approach.</w:t>
            </w:r>
          </w:p>
        </w:tc>
      </w:tr>
    </w:tbl>
    <w:p w:rsidR="00FD67E1" w:rsidRDefault="00FD67E1">
      <w:pPr>
        <w:spacing w:after="0"/>
      </w:pPr>
    </w:p>
    <w:p w:rsidR="00FD67E1" w:rsidRDefault="00EE0B9A">
      <w:pPr>
        <w:pStyle w:val="Heading2"/>
      </w:pPr>
      <w:r>
        <w:t>C2 Press office service levels</w:t>
      </w:r>
    </w:p>
    <w:tbl>
      <w:tblPr>
        <w:tblStyle w:val="TableGrid"/>
        <w:tblW w:w="0" w:type="auto"/>
        <w:jc w:val="center"/>
        <w:tblLook w:val="04A0" w:firstRow="1" w:lastRow="0" w:firstColumn="1" w:lastColumn="0" w:noHBand="0" w:noVBand="1"/>
      </w:tblPr>
      <w:tblGrid>
        <w:gridCol w:w="2232"/>
        <w:gridCol w:w="7416"/>
      </w:tblGrid>
      <w:tr w:rsidR="00FD67E1">
        <w:trPr>
          <w:cantSplit/>
          <w:tblHeader/>
          <w:jc w:val="center"/>
        </w:trPr>
        <w:tc>
          <w:tcPr>
            <w:tcW w:w="2232" w:type="dxa"/>
            <w:shd w:val="clear" w:color="auto" w:fill="13283F"/>
            <w:tcMar>
              <w:top w:w="80" w:type="dxa"/>
              <w:left w:w="100" w:type="dxa"/>
              <w:bottom w:w="80" w:type="dxa"/>
              <w:right w:w="100" w:type="dxa"/>
            </w:tcMar>
          </w:tcPr>
          <w:p w:rsidR="00FD67E1" w:rsidRDefault="00EE0B9A">
            <w:r>
              <w:rPr>
                <w:b/>
                <w:color w:val="FFFFFF"/>
                <w:sz w:val="16"/>
              </w:rPr>
              <w:t>Activity</w:t>
            </w:r>
          </w:p>
        </w:tc>
        <w:tc>
          <w:tcPr>
            <w:tcW w:w="7416" w:type="dxa"/>
            <w:shd w:val="clear" w:color="auto" w:fill="13283F"/>
            <w:tcMar>
              <w:top w:w="80" w:type="dxa"/>
              <w:left w:w="100" w:type="dxa"/>
              <w:bottom w:w="80" w:type="dxa"/>
              <w:right w:w="100" w:type="dxa"/>
            </w:tcMar>
          </w:tcPr>
          <w:p w:rsidR="00FD67E1" w:rsidRDefault="00EE0B9A">
            <w:r>
              <w:rPr>
                <w:b/>
                <w:color w:val="FFFFFF"/>
                <w:sz w:val="16"/>
              </w:rPr>
              <w:t>Minimum service standard</w:t>
            </w:r>
          </w:p>
        </w:tc>
      </w:tr>
      <w:tr w:rsidR="00FD67E1">
        <w:trPr>
          <w:cantSplit/>
          <w:jc w:val="center"/>
        </w:trPr>
        <w:tc>
          <w:tcPr>
            <w:tcW w:w="2232" w:type="dxa"/>
            <w:tcMar>
              <w:top w:w="80" w:type="dxa"/>
              <w:left w:w="100" w:type="dxa"/>
              <w:bottom w:w="80" w:type="dxa"/>
              <w:right w:w="100" w:type="dxa"/>
            </w:tcMar>
            <w:vAlign w:val="center"/>
          </w:tcPr>
          <w:p w:rsidR="00FD67E1" w:rsidRDefault="00EE0B9A">
            <w:pPr>
              <w:spacing w:after="0"/>
            </w:pPr>
            <w:r>
              <w:rPr>
                <w:sz w:val="16"/>
              </w:rPr>
              <w:t>Media monitoring</w:t>
            </w:r>
          </w:p>
        </w:tc>
        <w:tc>
          <w:tcPr>
            <w:tcW w:w="7416" w:type="dxa"/>
            <w:tcMar>
              <w:top w:w="80" w:type="dxa"/>
              <w:left w:w="100" w:type="dxa"/>
              <w:bottom w:w="80" w:type="dxa"/>
              <w:right w:w="100" w:type="dxa"/>
            </w:tcMar>
            <w:vAlign w:val="center"/>
          </w:tcPr>
          <w:p w:rsidR="00FD67E1" w:rsidRDefault="00EE0B9A">
            <w:pPr>
              <w:spacing w:after="0"/>
            </w:pPr>
            <w:r>
              <w:rPr>
                <w:sz w:val="16"/>
              </w:rPr>
              <w:t>Daily working-day monitoring in Arabic and English; immediate alert for material negative or inaccurate coverage.</w:t>
            </w:r>
          </w:p>
        </w:tc>
      </w:tr>
      <w:tr w:rsidR="00FD67E1">
        <w:trPr>
          <w:cantSplit/>
          <w:jc w:val="center"/>
        </w:trPr>
        <w:tc>
          <w:tcPr>
            <w:tcW w:w="2232" w:type="dxa"/>
            <w:shd w:val="clear" w:color="auto" w:fill="F4F7F8"/>
            <w:tcMar>
              <w:top w:w="80" w:type="dxa"/>
              <w:left w:w="100" w:type="dxa"/>
              <w:bottom w:w="80" w:type="dxa"/>
              <w:right w:w="100" w:type="dxa"/>
            </w:tcMar>
            <w:vAlign w:val="center"/>
          </w:tcPr>
          <w:p w:rsidR="00FD67E1" w:rsidRDefault="00EE0B9A">
            <w:pPr>
              <w:spacing w:after="0"/>
            </w:pPr>
            <w:r>
              <w:rPr>
                <w:sz w:val="16"/>
              </w:rPr>
              <w:t>Routine media enquiry</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Acknowledge within 60 minutes during service hours; confirm response route within two hours; no substantive response without approval.</w:t>
            </w:r>
          </w:p>
        </w:tc>
      </w:tr>
      <w:tr w:rsidR="00FD67E1">
        <w:trPr>
          <w:cantSplit/>
          <w:jc w:val="center"/>
        </w:trPr>
        <w:tc>
          <w:tcPr>
            <w:tcW w:w="2232" w:type="dxa"/>
            <w:tcMar>
              <w:top w:w="80" w:type="dxa"/>
              <w:left w:w="100" w:type="dxa"/>
              <w:bottom w:w="80" w:type="dxa"/>
              <w:right w:w="100" w:type="dxa"/>
            </w:tcMar>
            <w:vAlign w:val="center"/>
          </w:tcPr>
          <w:p w:rsidR="00FD67E1" w:rsidRDefault="00EE0B9A">
            <w:pPr>
              <w:spacing w:after="0"/>
            </w:pPr>
            <w:r>
              <w:rPr>
                <w:sz w:val="16"/>
              </w:rPr>
              <w:t>Urgent issue</w:t>
            </w:r>
          </w:p>
        </w:tc>
        <w:tc>
          <w:tcPr>
            <w:tcW w:w="7416" w:type="dxa"/>
            <w:tcMar>
              <w:top w:w="80" w:type="dxa"/>
              <w:left w:w="100" w:type="dxa"/>
              <w:bottom w:w="80" w:type="dxa"/>
              <w:right w:w="100" w:type="dxa"/>
            </w:tcMar>
            <w:vAlign w:val="center"/>
          </w:tcPr>
          <w:p w:rsidR="00FD67E1" w:rsidRDefault="00EE0B9A">
            <w:pPr>
              <w:spacing w:after="0"/>
            </w:pPr>
            <w:r>
              <w:rPr>
                <w:sz w:val="16"/>
              </w:rPr>
              <w:t>Immediate telephone and written escalation to nominated contacts; first situational summary within 30 minutes where information is available.</w:t>
            </w:r>
          </w:p>
        </w:tc>
      </w:tr>
      <w:tr w:rsidR="00FD67E1">
        <w:trPr>
          <w:cantSplit/>
          <w:jc w:val="center"/>
        </w:trPr>
        <w:tc>
          <w:tcPr>
            <w:tcW w:w="2232" w:type="dxa"/>
            <w:shd w:val="clear" w:color="auto" w:fill="F4F7F8"/>
            <w:tcMar>
              <w:top w:w="80" w:type="dxa"/>
              <w:left w:w="100" w:type="dxa"/>
              <w:bottom w:w="80" w:type="dxa"/>
              <w:right w:w="100" w:type="dxa"/>
            </w:tcMar>
            <w:vAlign w:val="center"/>
          </w:tcPr>
          <w:p w:rsidR="00FD67E1" w:rsidRDefault="00EE0B9A">
            <w:pPr>
              <w:spacing w:after="0"/>
            </w:pPr>
            <w:r>
              <w:rPr>
                <w:sz w:val="16"/>
              </w:rPr>
              <w:t>Press material</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Native Arabic and English drafting, fact verification, approvals, distribution plan, targeted pitching, follow-up and coverage report.</w:t>
            </w:r>
          </w:p>
        </w:tc>
      </w:tr>
      <w:tr w:rsidR="00FD67E1">
        <w:trPr>
          <w:cantSplit/>
          <w:jc w:val="center"/>
        </w:trPr>
        <w:tc>
          <w:tcPr>
            <w:tcW w:w="2232" w:type="dxa"/>
            <w:tcMar>
              <w:top w:w="80" w:type="dxa"/>
              <w:left w:w="100" w:type="dxa"/>
              <w:bottom w:w="80" w:type="dxa"/>
              <w:right w:w="100" w:type="dxa"/>
            </w:tcMar>
            <w:vAlign w:val="center"/>
          </w:tcPr>
          <w:p w:rsidR="00FD67E1" w:rsidRDefault="00EE0B9A">
            <w:pPr>
              <w:spacing w:after="0"/>
            </w:pPr>
            <w:r>
              <w:rPr>
                <w:sz w:val="16"/>
              </w:rPr>
              <w:t>Monthly media report</w:t>
            </w:r>
          </w:p>
        </w:tc>
        <w:tc>
          <w:tcPr>
            <w:tcW w:w="7416" w:type="dxa"/>
            <w:tcMar>
              <w:top w:w="80" w:type="dxa"/>
              <w:left w:w="100" w:type="dxa"/>
              <w:bottom w:w="80" w:type="dxa"/>
              <w:right w:w="100" w:type="dxa"/>
            </w:tcMar>
            <w:vAlign w:val="center"/>
          </w:tcPr>
          <w:p w:rsidR="00FD67E1" w:rsidRDefault="00EE0B9A">
            <w:pPr>
              <w:spacing w:after="0"/>
            </w:pPr>
            <w:r>
              <w:rPr>
                <w:sz w:val="16"/>
              </w:rPr>
              <w:t>Coverage quality, message penetration, spokesperson use, inaccuracies, audience relevance, opportunities, risks and actions; do not rely on advertising-value equivalency as the primary measure.</w:t>
            </w:r>
          </w:p>
        </w:tc>
      </w:tr>
      <w:tr w:rsidR="00FD67E1">
        <w:trPr>
          <w:cantSplit/>
          <w:jc w:val="center"/>
        </w:trPr>
        <w:tc>
          <w:tcPr>
            <w:tcW w:w="2232" w:type="dxa"/>
            <w:shd w:val="clear" w:color="auto" w:fill="F4F7F8"/>
            <w:tcMar>
              <w:top w:w="80" w:type="dxa"/>
              <w:left w:w="100" w:type="dxa"/>
              <w:bottom w:w="80" w:type="dxa"/>
              <w:right w:w="100" w:type="dxa"/>
            </w:tcMar>
            <w:vAlign w:val="center"/>
          </w:tcPr>
          <w:p w:rsidR="00FD67E1" w:rsidRDefault="00EE0B9A">
            <w:pPr>
              <w:spacing w:after="0"/>
            </w:pPr>
            <w:r>
              <w:rPr>
                <w:sz w:val="16"/>
              </w:rPr>
              <w:t>Quarterly review</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Narrative performance, stakeholder feedback, share of relevant voice, reputation risks and next-quarter decisions.</w:t>
            </w:r>
          </w:p>
        </w:tc>
      </w:tr>
    </w:tbl>
    <w:p w:rsidR="00FD67E1" w:rsidRDefault="00FD67E1">
      <w:pPr>
        <w:spacing w:after="0"/>
      </w:pPr>
    </w:p>
    <w:p w:rsidR="00FD67E1" w:rsidRDefault="00EE0B9A">
      <w:pPr>
        <w:pStyle w:val="Heading2"/>
      </w:pPr>
      <w:r>
        <w:t>C3 Launch programme</w:t>
      </w:r>
    </w:p>
    <w:p w:rsidR="00FD67E1" w:rsidRDefault="00EE0B9A">
      <w:r>
        <w:t>The launch must introduce Tharaa as an operating ecosystem and create qualified next steps. The agency must design the full communications journey before, during and after launch, coordinated with event production, protocol, leadership, programme operations and digital readiness.</w:t>
      </w:r>
    </w:p>
    <w:tbl>
      <w:tblPr>
        <w:tblStyle w:val="TableGrid"/>
        <w:tblW w:w="0" w:type="auto"/>
        <w:jc w:val="center"/>
        <w:tblLook w:val="04A0" w:firstRow="1" w:lastRow="0" w:firstColumn="1" w:lastColumn="0" w:noHBand="0" w:noVBand="1"/>
      </w:tblPr>
      <w:tblGrid>
        <w:gridCol w:w="1872"/>
        <w:gridCol w:w="7776"/>
      </w:tblGrid>
      <w:tr w:rsidR="00FD67E1">
        <w:trPr>
          <w:cantSplit/>
          <w:tblHeader/>
          <w:jc w:val="center"/>
        </w:trPr>
        <w:tc>
          <w:tcPr>
            <w:tcW w:w="1872" w:type="dxa"/>
            <w:shd w:val="clear" w:color="auto" w:fill="13283F"/>
            <w:tcMar>
              <w:top w:w="80" w:type="dxa"/>
              <w:left w:w="100" w:type="dxa"/>
              <w:bottom w:w="80" w:type="dxa"/>
              <w:right w:w="100" w:type="dxa"/>
            </w:tcMar>
          </w:tcPr>
          <w:p w:rsidR="00FD67E1" w:rsidRDefault="00EE0B9A">
            <w:r>
              <w:rPr>
                <w:b/>
                <w:color w:val="FFFFFF"/>
                <w:sz w:val="16"/>
              </w:rPr>
              <w:t>Stage</w:t>
            </w:r>
          </w:p>
        </w:tc>
        <w:tc>
          <w:tcPr>
            <w:tcW w:w="7776" w:type="dxa"/>
            <w:shd w:val="clear" w:color="auto" w:fill="13283F"/>
            <w:tcMar>
              <w:top w:w="80" w:type="dxa"/>
              <w:left w:w="100" w:type="dxa"/>
              <w:bottom w:w="80" w:type="dxa"/>
              <w:right w:w="100" w:type="dxa"/>
            </w:tcMar>
          </w:tcPr>
          <w:p w:rsidR="00FD67E1" w:rsidRDefault="00EE0B9A">
            <w:r>
              <w:rPr>
                <w:b/>
                <w:color w:val="FFFFFF"/>
                <w:sz w:val="16"/>
              </w:rPr>
              <w:t>Minimum requirements</w:t>
            </w:r>
          </w:p>
        </w:tc>
      </w:tr>
      <w:tr w:rsidR="00FD67E1">
        <w:trPr>
          <w:cantSplit/>
          <w:jc w:val="center"/>
        </w:trPr>
        <w:tc>
          <w:tcPr>
            <w:tcW w:w="1872" w:type="dxa"/>
            <w:tcMar>
              <w:top w:w="80" w:type="dxa"/>
              <w:left w:w="100" w:type="dxa"/>
              <w:bottom w:w="80" w:type="dxa"/>
              <w:right w:w="100" w:type="dxa"/>
            </w:tcMar>
            <w:vAlign w:val="center"/>
          </w:tcPr>
          <w:p w:rsidR="00FD67E1" w:rsidRDefault="00EE0B9A">
            <w:pPr>
              <w:spacing w:after="0"/>
            </w:pPr>
            <w:r>
              <w:rPr>
                <w:sz w:val="16"/>
              </w:rPr>
              <w:t>Pre-launch</w:t>
            </w:r>
          </w:p>
        </w:tc>
        <w:tc>
          <w:tcPr>
            <w:tcW w:w="7776" w:type="dxa"/>
            <w:tcMar>
              <w:top w:w="80" w:type="dxa"/>
              <w:left w:w="100" w:type="dxa"/>
              <w:bottom w:w="80" w:type="dxa"/>
              <w:right w:w="100" w:type="dxa"/>
            </w:tcMar>
            <w:vAlign w:val="center"/>
          </w:tcPr>
          <w:p w:rsidR="00FD67E1" w:rsidRDefault="00EE0B9A">
            <w:pPr>
              <w:spacing w:after="0"/>
            </w:pPr>
            <w:r>
              <w:rPr>
                <w:sz w:val="16"/>
              </w:rPr>
              <w:t>Stakeholder map; save-the-date and invitation journey; controlled teaser plan; media briefing; spokesperson preparation; FAQs; evidence checks; content bank; crisis scenarios; registration and data capture.</w:t>
            </w:r>
          </w:p>
        </w:tc>
      </w:tr>
      <w:tr w:rsidR="00FD67E1">
        <w:trPr>
          <w:cantSplit/>
          <w:jc w:val="center"/>
        </w:trPr>
        <w:tc>
          <w:tcPr>
            <w:tcW w:w="1872" w:type="dxa"/>
            <w:shd w:val="clear" w:color="auto" w:fill="F4F7F8"/>
            <w:tcMar>
              <w:top w:w="80" w:type="dxa"/>
              <w:left w:w="100" w:type="dxa"/>
              <w:bottom w:w="80" w:type="dxa"/>
              <w:right w:w="100" w:type="dxa"/>
            </w:tcMar>
            <w:vAlign w:val="center"/>
          </w:tcPr>
          <w:p w:rsidR="00FD67E1" w:rsidRDefault="00EE0B9A">
            <w:pPr>
              <w:spacing w:after="0"/>
            </w:pPr>
            <w:r>
              <w:rPr>
                <w:sz w:val="16"/>
              </w:rPr>
              <w:t>Launch day</w:t>
            </w:r>
          </w:p>
        </w:tc>
        <w:tc>
          <w:tcPr>
            <w:tcW w:w="7776" w:type="dxa"/>
            <w:shd w:val="clear" w:color="auto" w:fill="F4F7F8"/>
            <w:tcMar>
              <w:top w:w="80" w:type="dxa"/>
              <w:left w:w="100" w:type="dxa"/>
              <w:bottom w:w="80" w:type="dxa"/>
              <w:right w:w="100" w:type="dxa"/>
            </w:tcMar>
            <w:vAlign w:val="center"/>
          </w:tcPr>
          <w:p w:rsidR="00FD67E1" w:rsidRDefault="00EE0B9A">
            <w:pPr>
              <w:spacing w:after="0"/>
            </w:pPr>
            <w:r>
              <w:rPr>
                <w:sz w:val="16"/>
              </w:rPr>
              <w:t>Run of communications; press centre; Arabic/English materials; speeches and talking points; live content; approved photography/video; media handling; monitoring; rapid approvals and issue escalation.</w:t>
            </w:r>
          </w:p>
        </w:tc>
      </w:tr>
      <w:tr w:rsidR="00FD67E1">
        <w:trPr>
          <w:cantSplit/>
          <w:jc w:val="center"/>
        </w:trPr>
        <w:tc>
          <w:tcPr>
            <w:tcW w:w="1872" w:type="dxa"/>
            <w:tcMar>
              <w:top w:w="80" w:type="dxa"/>
              <w:left w:w="100" w:type="dxa"/>
              <w:bottom w:w="80" w:type="dxa"/>
              <w:right w:w="100" w:type="dxa"/>
            </w:tcMar>
            <w:vAlign w:val="center"/>
          </w:tcPr>
          <w:p w:rsidR="00FD67E1" w:rsidRDefault="00EE0B9A">
            <w:pPr>
              <w:spacing w:after="0"/>
            </w:pPr>
            <w:r>
              <w:rPr>
                <w:sz w:val="16"/>
              </w:rPr>
              <w:lastRenderedPageBreak/>
              <w:t>Post-launch</w:t>
            </w:r>
          </w:p>
        </w:tc>
        <w:tc>
          <w:tcPr>
            <w:tcW w:w="7776" w:type="dxa"/>
            <w:tcMar>
              <w:top w:w="80" w:type="dxa"/>
              <w:left w:w="100" w:type="dxa"/>
              <w:bottom w:w="80" w:type="dxa"/>
              <w:right w:w="100" w:type="dxa"/>
            </w:tcMar>
            <w:vAlign w:val="center"/>
          </w:tcPr>
          <w:p w:rsidR="00FD67E1" w:rsidRDefault="00EE0B9A">
            <w:pPr>
              <w:spacing w:after="0"/>
            </w:pPr>
            <w:r>
              <w:rPr>
                <w:sz w:val="16"/>
              </w:rPr>
              <w:t>Same-day assets; release and interview follow-up; attendee and applicant conversion; coverage correction; highlight film; stakeholder communications; seven-day result report and 30-day conversion review.</w:t>
            </w:r>
          </w:p>
        </w:tc>
      </w:tr>
    </w:tbl>
    <w:p w:rsidR="00FD67E1" w:rsidRDefault="00FD67E1">
      <w:pPr>
        <w:spacing w:after="0"/>
      </w:pPr>
    </w:p>
    <w:p w:rsidR="00FD67E1" w:rsidRDefault="00EE0B9A">
      <w:pPr>
        <w:pStyle w:val="Heading2"/>
      </w:pPr>
      <w:r>
        <w:t>C4 Required launch asset list</w:t>
      </w:r>
    </w:p>
    <w:p w:rsidR="00FD67E1" w:rsidRDefault="00EE0B9A">
      <w:pPr>
        <w:pStyle w:val="CompactBullet"/>
      </w:pPr>
      <w:r>
        <w:t>Master creative concept and bilingual campaign line.</w:t>
      </w:r>
    </w:p>
    <w:p w:rsidR="00FD67E1" w:rsidRDefault="00EE0B9A">
      <w:pPr>
        <w:pStyle w:val="CompactBullet"/>
      </w:pPr>
      <w:r>
        <w:t>Hero film, 60-second and 30-second versions, vertical cut-downs, subtitled and clean versions, with music and talent rights documented.</w:t>
      </w:r>
    </w:p>
    <w:p w:rsidR="00FD67E1" w:rsidRDefault="00EE0B9A">
      <w:pPr>
        <w:pStyle w:val="CompactBullet"/>
      </w:pPr>
      <w:r>
        <w:t>Key visual system for digital, outdoor, print, venue and partner applications.</w:t>
      </w:r>
    </w:p>
    <w:p w:rsidR="00FD67E1" w:rsidRDefault="00EE0B9A">
      <w:pPr>
        <w:pStyle w:val="CompactBullet"/>
      </w:pPr>
      <w:r>
        <w:t>Arabic and English press release, backgrounder, fact sheet, leadership biographies, entity descriptions, FAQs, approved image library and media contact sheet.</w:t>
      </w:r>
    </w:p>
    <w:p w:rsidR="00FD67E1" w:rsidRDefault="00EE0B9A">
      <w:pPr>
        <w:pStyle w:val="CompactBullet"/>
      </w:pPr>
      <w:r>
        <w:t>Chairperson and Group CEO speeches, talking points, anticipated questions, interview briefs and message rehearsal.</w:t>
      </w:r>
    </w:p>
    <w:p w:rsidR="00FD67E1" w:rsidRDefault="00EE0B9A">
      <w:pPr>
        <w:pStyle w:val="CompactBullet"/>
      </w:pPr>
      <w:r>
        <w:t>Registration and invitation communications, reminder sequence, confirmation, venue information, post-event thanks and calls to action.</w:t>
      </w:r>
    </w:p>
    <w:p w:rsidR="00FD67E1" w:rsidRDefault="00EE0B9A">
      <w:pPr>
        <w:pStyle w:val="CompactBullet"/>
      </w:pPr>
      <w:r>
        <w:t>Shot list, interview plan, same-day edit process, live social plan, approval room and contingency content.</w:t>
      </w:r>
    </w:p>
    <w:p w:rsidR="00FD67E1" w:rsidRDefault="00EE0B9A">
      <w:pPr>
        <w:pStyle w:val="CompactBullet"/>
      </w:pPr>
      <w:r>
        <w:t>Launch measurement plan covering invite acceptance, attendance quality, media quality, qualified enquiries, applications, partner/investor leads, website action and issue management.</w:t>
      </w:r>
    </w:p>
    <w:p w:rsidR="00FD67E1" w:rsidRDefault="00EE0B9A">
      <w:pPr>
        <w:pStyle w:val="Heading2"/>
      </w:pPr>
      <w:r>
        <w:t>C5 Crisis and issues management</w:t>
      </w:r>
    </w:p>
    <w:tbl>
      <w:tblPr>
        <w:tblStyle w:val="TableGrid"/>
        <w:tblW w:w="0" w:type="auto"/>
        <w:jc w:val="center"/>
        <w:tblLook w:val="04A0" w:firstRow="1" w:lastRow="0" w:firstColumn="1" w:lastColumn="0" w:noHBand="0" w:noVBand="1"/>
      </w:tblPr>
      <w:tblGrid>
        <w:gridCol w:w="1440"/>
        <w:gridCol w:w="3888"/>
        <w:gridCol w:w="4320"/>
      </w:tblGrid>
      <w:tr w:rsidR="00FD67E1">
        <w:trPr>
          <w:cantSplit/>
          <w:tblHeader/>
          <w:jc w:val="center"/>
        </w:trPr>
        <w:tc>
          <w:tcPr>
            <w:tcW w:w="1440" w:type="dxa"/>
            <w:shd w:val="clear" w:color="auto" w:fill="13283F"/>
            <w:tcMar>
              <w:top w:w="80" w:type="dxa"/>
              <w:left w:w="100" w:type="dxa"/>
              <w:bottom w:w="80" w:type="dxa"/>
              <w:right w:w="100" w:type="dxa"/>
            </w:tcMar>
          </w:tcPr>
          <w:p w:rsidR="00FD67E1" w:rsidRDefault="00EE0B9A">
            <w:r>
              <w:rPr>
                <w:b/>
                <w:color w:val="FFFFFF"/>
                <w:sz w:val="16"/>
              </w:rPr>
              <w:t>Severity</w:t>
            </w:r>
          </w:p>
        </w:tc>
        <w:tc>
          <w:tcPr>
            <w:tcW w:w="3888" w:type="dxa"/>
            <w:shd w:val="clear" w:color="auto" w:fill="13283F"/>
            <w:tcMar>
              <w:top w:w="80" w:type="dxa"/>
              <w:left w:w="100" w:type="dxa"/>
              <w:bottom w:w="80" w:type="dxa"/>
              <w:right w:w="100" w:type="dxa"/>
            </w:tcMar>
          </w:tcPr>
          <w:p w:rsidR="00FD67E1" w:rsidRDefault="00EE0B9A">
            <w:r>
              <w:rPr>
                <w:b/>
                <w:color w:val="FFFFFF"/>
                <w:sz w:val="16"/>
              </w:rPr>
              <w:t>Example</w:t>
            </w:r>
          </w:p>
        </w:tc>
        <w:tc>
          <w:tcPr>
            <w:tcW w:w="4320" w:type="dxa"/>
            <w:shd w:val="clear" w:color="auto" w:fill="13283F"/>
            <w:tcMar>
              <w:top w:w="80" w:type="dxa"/>
              <w:left w:w="100" w:type="dxa"/>
              <w:bottom w:w="80" w:type="dxa"/>
              <w:right w:w="100" w:type="dxa"/>
            </w:tcMar>
          </w:tcPr>
          <w:p w:rsidR="00FD67E1" w:rsidRDefault="00EE0B9A">
            <w:r>
              <w:rPr>
                <w:b/>
                <w:color w:val="FFFFFF"/>
                <w:sz w:val="16"/>
              </w:rPr>
              <w:t>Agency action</w:t>
            </w:r>
          </w:p>
        </w:tc>
      </w:tr>
      <w:tr w:rsidR="00FD67E1">
        <w:trPr>
          <w:cantSplit/>
          <w:jc w:val="center"/>
        </w:trPr>
        <w:tc>
          <w:tcPr>
            <w:tcW w:w="1440" w:type="dxa"/>
            <w:tcMar>
              <w:top w:w="80" w:type="dxa"/>
              <w:left w:w="100" w:type="dxa"/>
              <w:bottom w:w="80" w:type="dxa"/>
              <w:right w:w="100" w:type="dxa"/>
            </w:tcMar>
            <w:vAlign w:val="center"/>
          </w:tcPr>
          <w:p w:rsidR="00FD67E1" w:rsidRDefault="00EE0B9A">
            <w:pPr>
              <w:spacing w:after="0"/>
            </w:pPr>
            <w:r>
              <w:rPr>
                <w:sz w:val="16"/>
              </w:rPr>
              <w:t>Level 1 Routine</w:t>
            </w:r>
          </w:p>
        </w:tc>
        <w:tc>
          <w:tcPr>
            <w:tcW w:w="3888" w:type="dxa"/>
            <w:tcMar>
              <w:top w:w="80" w:type="dxa"/>
              <w:left w:w="100" w:type="dxa"/>
              <w:bottom w:w="80" w:type="dxa"/>
              <w:right w:w="100" w:type="dxa"/>
            </w:tcMar>
            <w:vAlign w:val="center"/>
          </w:tcPr>
          <w:p w:rsidR="00FD67E1" w:rsidRDefault="00EE0B9A">
            <w:pPr>
              <w:spacing w:after="0"/>
            </w:pPr>
            <w:r>
              <w:rPr>
                <w:sz w:val="16"/>
              </w:rPr>
              <w:t>Ordinary complaint, service question, minor incorrect tag or non-material criticism.</w:t>
            </w:r>
          </w:p>
        </w:tc>
        <w:tc>
          <w:tcPr>
            <w:tcW w:w="4320" w:type="dxa"/>
            <w:tcMar>
              <w:top w:w="80" w:type="dxa"/>
              <w:left w:w="100" w:type="dxa"/>
              <w:bottom w:w="80" w:type="dxa"/>
              <w:right w:w="100" w:type="dxa"/>
            </w:tcMar>
            <w:vAlign w:val="center"/>
          </w:tcPr>
          <w:p w:rsidR="00FD67E1" w:rsidRDefault="00EE0B9A">
            <w:pPr>
              <w:spacing w:after="0"/>
            </w:pPr>
            <w:r>
              <w:rPr>
                <w:sz w:val="16"/>
              </w:rPr>
              <w:t>Log, respond through approved matrix and include in regular reporting.</w:t>
            </w:r>
          </w:p>
        </w:tc>
      </w:tr>
      <w:tr w:rsidR="00FD67E1">
        <w:trPr>
          <w:cantSplit/>
          <w:jc w:val="center"/>
        </w:trPr>
        <w:tc>
          <w:tcPr>
            <w:tcW w:w="1440" w:type="dxa"/>
            <w:shd w:val="clear" w:color="auto" w:fill="F4F7F8"/>
            <w:tcMar>
              <w:top w:w="80" w:type="dxa"/>
              <w:left w:w="100" w:type="dxa"/>
              <w:bottom w:w="80" w:type="dxa"/>
              <w:right w:w="100" w:type="dxa"/>
            </w:tcMar>
            <w:vAlign w:val="center"/>
          </w:tcPr>
          <w:p w:rsidR="00FD67E1" w:rsidRDefault="00EE0B9A">
            <w:pPr>
              <w:spacing w:after="0"/>
            </w:pPr>
            <w:r>
              <w:rPr>
                <w:sz w:val="16"/>
              </w:rPr>
              <w:t>Level 2 Elevated</w:t>
            </w:r>
          </w:p>
        </w:tc>
        <w:tc>
          <w:tcPr>
            <w:tcW w:w="3888" w:type="dxa"/>
            <w:shd w:val="clear" w:color="auto" w:fill="F4F7F8"/>
            <w:tcMar>
              <w:top w:w="80" w:type="dxa"/>
              <w:left w:w="100" w:type="dxa"/>
              <w:bottom w:w="80" w:type="dxa"/>
              <w:right w:w="100" w:type="dxa"/>
            </w:tcMar>
            <w:vAlign w:val="center"/>
          </w:tcPr>
          <w:p w:rsidR="00FD67E1" w:rsidRDefault="00EE0B9A">
            <w:pPr>
              <w:spacing w:after="0"/>
            </w:pPr>
            <w:r>
              <w:rPr>
                <w:sz w:val="16"/>
              </w:rPr>
              <w:t>Repeated complaint, misinformation gaining attention, partner concern, executive criticism or local media query.</w:t>
            </w:r>
          </w:p>
        </w:tc>
        <w:tc>
          <w:tcPr>
            <w:tcW w:w="4320" w:type="dxa"/>
            <w:shd w:val="clear" w:color="auto" w:fill="F4F7F8"/>
            <w:tcMar>
              <w:top w:w="80" w:type="dxa"/>
              <w:left w:w="100" w:type="dxa"/>
              <w:bottom w:w="80" w:type="dxa"/>
              <w:right w:w="100" w:type="dxa"/>
            </w:tcMar>
            <w:vAlign w:val="center"/>
          </w:tcPr>
          <w:p w:rsidR="00FD67E1" w:rsidRDefault="00EE0B9A">
            <w:pPr>
              <w:spacing w:after="0"/>
            </w:pPr>
            <w:r>
              <w:rPr>
                <w:sz w:val="16"/>
              </w:rPr>
              <w:t>Alert nominated lead, investigate, prepare response options and increase monitoring.</w:t>
            </w:r>
          </w:p>
        </w:tc>
      </w:tr>
      <w:tr w:rsidR="00FD67E1">
        <w:trPr>
          <w:cantSplit/>
          <w:jc w:val="center"/>
        </w:trPr>
        <w:tc>
          <w:tcPr>
            <w:tcW w:w="1440" w:type="dxa"/>
            <w:tcMar>
              <w:top w:w="80" w:type="dxa"/>
              <w:left w:w="100" w:type="dxa"/>
              <w:bottom w:w="80" w:type="dxa"/>
              <w:right w:w="100" w:type="dxa"/>
            </w:tcMar>
            <w:vAlign w:val="center"/>
          </w:tcPr>
          <w:p w:rsidR="00FD67E1" w:rsidRDefault="00EE0B9A">
            <w:pPr>
              <w:spacing w:after="0"/>
            </w:pPr>
            <w:r>
              <w:rPr>
                <w:sz w:val="16"/>
              </w:rPr>
              <w:t>Level 3 Material</w:t>
            </w:r>
          </w:p>
        </w:tc>
        <w:tc>
          <w:tcPr>
            <w:tcW w:w="3888" w:type="dxa"/>
            <w:tcMar>
              <w:top w:w="80" w:type="dxa"/>
              <w:left w:w="100" w:type="dxa"/>
              <w:bottom w:w="80" w:type="dxa"/>
              <w:right w:w="100" w:type="dxa"/>
            </w:tcMar>
            <w:vAlign w:val="center"/>
          </w:tcPr>
          <w:p w:rsidR="00FD67E1" w:rsidRDefault="00EE0B9A">
            <w:pPr>
              <w:spacing w:after="0"/>
            </w:pPr>
            <w:r>
              <w:rPr>
                <w:sz w:val="16"/>
              </w:rPr>
              <w:t>Government sensitivity, investment allegation, data incident, beneficiary harm, discriminatory content or significant negative coverage.</w:t>
            </w:r>
          </w:p>
        </w:tc>
        <w:tc>
          <w:tcPr>
            <w:tcW w:w="4320" w:type="dxa"/>
            <w:tcMar>
              <w:top w:w="80" w:type="dxa"/>
              <w:left w:w="100" w:type="dxa"/>
              <w:bottom w:w="80" w:type="dxa"/>
              <w:right w:w="100" w:type="dxa"/>
            </w:tcMar>
            <w:vAlign w:val="center"/>
          </w:tcPr>
          <w:p w:rsidR="00FD67E1" w:rsidRDefault="00EE0B9A">
            <w:pPr>
              <w:spacing w:after="0"/>
            </w:pPr>
            <w:r>
              <w:rPr>
                <w:sz w:val="16"/>
              </w:rPr>
              <w:t>Immediate escalation, war-room support, verified holding statement, stakeholder map and continuous monitoring. No publication without executive approval.</w:t>
            </w:r>
          </w:p>
        </w:tc>
      </w:tr>
      <w:tr w:rsidR="00FD67E1">
        <w:trPr>
          <w:cantSplit/>
          <w:jc w:val="center"/>
        </w:trPr>
        <w:tc>
          <w:tcPr>
            <w:tcW w:w="1440" w:type="dxa"/>
            <w:shd w:val="clear" w:color="auto" w:fill="F4F7F8"/>
            <w:tcMar>
              <w:top w:w="80" w:type="dxa"/>
              <w:left w:w="100" w:type="dxa"/>
              <w:bottom w:w="80" w:type="dxa"/>
              <w:right w:w="100" w:type="dxa"/>
            </w:tcMar>
            <w:vAlign w:val="center"/>
          </w:tcPr>
          <w:p w:rsidR="00FD67E1" w:rsidRDefault="00EE0B9A">
            <w:pPr>
              <w:spacing w:after="0"/>
            </w:pPr>
            <w:r>
              <w:rPr>
                <w:sz w:val="16"/>
              </w:rPr>
              <w:t>Level 4 Critical</w:t>
            </w:r>
          </w:p>
        </w:tc>
        <w:tc>
          <w:tcPr>
            <w:tcW w:w="3888" w:type="dxa"/>
            <w:shd w:val="clear" w:color="auto" w:fill="F4F7F8"/>
            <w:tcMar>
              <w:top w:w="80" w:type="dxa"/>
              <w:left w:w="100" w:type="dxa"/>
              <w:bottom w:w="80" w:type="dxa"/>
              <w:right w:w="100" w:type="dxa"/>
            </w:tcMar>
            <w:vAlign w:val="center"/>
          </w:tcPr>
          <w:p w:rsidR="00FD67E1" w:rsidRDefault="00EE0B9A">
            <w:pPr>
              <w:spacing w:after="0"/>
            </w:pPr>
            <w:r>
              <w:rPr>
                <w:sz w:val="16"/>
              </w:rPr>
              <w:t>Threat to public trust, legal/regulatory exposure, major cyber event, safety issue or national/international escalation.</w:t>
            </w:r>
          </w:p>
        </w:tc>
        <w:tc>
          <w:tcPr>
            <w:tcW w:w="4320" w:type="dxa"/>
            <w:shd w:val="clear" w:color="auto" w:fill="F4F7F8"/>
            <w:tcMar>
              <w:top w:w="80" w:type="dxa"/>
              <w:left w:w="100" w:type="dxa"/>
              <w:bottom w:w="80" w:type="dxa"/>
              <w:right w:w="100" w:type="dxa"/>
            </w:tcMar>
            <w:vAlign w:val="center"/>
          </w:tcPr>
          <w:p w:rsidR="00FD67E1" w:rsidRDefault="00EE0B9A">
            <w:pPr>
              <w:spacing w:after="0"/>
            </w:pPr>
            <w:r>
              <w:rPr>
                <w:sz w:val="16"/>
              </w:rPr>
              <w:t>Activate crisis leadership structure, 24-hour support if instructed, decision log, coordinated legal/protocol response and recovery plan.</w:t>
            </w:r>
          </w:p>
        </w:tc>
      </w:tr>
    </w:tbl>
    <w:p w:rsidR="00FD67E1" w:rsidRDefault="00FD67E1">
      <w:pPr>
        <w:spacing w:after="0"/>
      </w:pPr>
    </w:p>
    <w:p w:rsidR="00FD67E1" w:rsidRDefault="00EE0B9A">
      <w:pPr>
        <w:pStyle w:val="Heading1"/>
      </w:pPr>
      <w:r>
        <w:t>Schedule D Social Media Content and Community Management</w:t>
      </w:r>
    </w:p>
    <w:p w:rsidR="00FD67E1" w:rsidRDefault="00EE0B9A">
      <w:pPr>
        <w:pStyle w:val="Heading2"/>
      </w:pPr>
      <w:r>
        <w:t>D1 Channel architecture</w:t>
      </w:r>
    </w:p>
    <w:p w:rsidR="00FD67E1" w:rsidRDefault="00EE0B9A">
      <w:r>
        <w:t>The agency must establish and manage separate, dedicated social accounts for Tharaa Holding and each of the five operating companies across LinkedIn, Instagram, X, YouTube and TikTok. The governance model must define the role of every account, prevent repetitive cross-posting, protect quality and show how master-brand and entity content work together. Every account requires a purposeful editorial plan and sufficient content to remain active.</w:t>
      </w:r>
    </w:p>
    <w:tbl>
      <w:tblPr>
        <w:tblStyle w:val="TableGrid"/>
        <w:tblW w:w="0" w:type="auto"/>
        <w:jc w:val="center"/>
        <w:tblLook w:val="04A0" w:firstRow="1" w:lastRow="0" w:firstColumn="1" w:lastColumn="0" w:noHBand="0" w:noVBand="1"/>
      </w:tblPr>
      <w:tblGrid>
        <w:gridCol w:w="1656"/>
        <w:gridCol w:w="3168"/>
        <w:gridCol w:w="4824"/>
      </w:tblGrid>
      <w:tr w:rsidR="00FD67E1">
        <w:trPr>
          <w:cantSplit/>
          <w:tblHeader/>
          <w:jc w:val="center"/>
        </w:trPr>
        <w:tc>
          <w:tcPr>
            <w:tcW w:w="1656" w:type="dxa"/>
            <w:shd w:val="clear" w:color="auto" w:fill="13283F"/>
            <w:tcMar>
              <w:top w:w="80" w:type="dxa"/>
              <w:left w:w="100" w:type="dxa"/>
              <w:bottom w:w="80" w:type="dxa"/>
              <w:right w:w="100" w:type="dxa"/>
            </w:tcMar>
          </w:tcPr>
          <w:p w:rsidR="00FD67E1" w:rsidRDefault="00EE0B9A">
            <w:r>
              <w:rPr>
                <w:b/>
                <w:color w:val="FFFFFF"/>
                <w:sz w:val="16"/>
              </w:rPr>
              <w:t>Platform</w:t>
            </w:r>
          </w:p>
        </w:tc>
        <w:tc>
          <w:tcPr>
            <w:tcW w:w="3168" w:type="dxa"/>
            <w:shd w:val="clear" w:color="auto" w:fill="13283F"/>
            <w:tcMar>
              <w:top w:w="80" w:type="dxa"/>
              <w:left w:w="100" w:type="dxa"/>
              <w:bottom w:w="80" w:type="dxa"/>
              <w:right w:w="100" w:type="dxa"/>
            </w:tcMar>
          </w:tcPr>
          <w:p w:rsidR="00FD67E1" w:rsidRDefault="00EE0B9A">
            <w:r>
              <w:rPr>
                <w:b/>
                <w:color w:val="FFFFFF"/>
                <w:sz w:val="16"/>
              </w:rPr>
              <w:t>Primary role</w:t>
            </w:r>
          </w:p>
        </w:tc>
        <w:tc>
          <w:tcPr>
            <w:tcW w:w="4824" w:type="dxa"/>
            <w:shd w:val="clear" w:color="auto" w:fill="13283F"/>
            <w:tcMar>
              <w:top w:w="80" w:type="dxa"/>
              <w:left w:w="100" w:type="dxa"/>
              <w:bottom w:w="80" w:type="dxa"/>
              <w:right w:w="100" w:type="dxa"/>
            </w:tcMar>
          </w:tcPr>
          <w:p w:rsidR="00FD67E1" w:rsidRDefault="00EE0B9A">
            <w:r>
              <w:rPr>
                <w:b/>
                <w:color w:val="FFFFFF"/>
                <w:sz w:val="16"/>
              </w:rPr>
              <w:t>Expected emphasis</w:t>
            </w:r>
          </w:p>
        </w:tc>
      </w:tr>
      <w:tr w:rsidR="00FD67E1">
        <w:trPr>
          <w:cantSplit/>
          <w:jc w:val="center"/>
        </w:trPr>
        <w:tc>
          <w:tcPr>
            <w:tcW w:w="1656" w:type="dxa"/>
            <w:tcMar>
              <w:top w:w="80" w:type="dxa"/>
              <w:left w:w="100" w:type="dxa"/>
              <w:bottom w:w="80" w:type="dxa"/>
              <w:right w:w="100" w:type="dxa"/>
            </w:tcMar>
            <w:vAlign w:val="center"/>
          </w:tcPr>
          <w:p w:rsidR="00FD67E1" w:rsidRDefault="00EE0B9A">
            <w:pPr>
              <w:spacing w:after="0"/>
            </w:pPr>
            <w:r>
              <w:rPr>
                <w:sz w:val="16"/>
              </w:rPr>
              <w:t>LinkedIn</w:t>
            </w:r>
          </w:p>
        </w:tc>
        <w:tc>
          <w:tcPr>
            <w:tcW w:w="3168" w:type="dxa"/>
            <w:tcMar>
              <w:top w:w="80" w:type="dxa"/>
              <w:left w:w="100" w:type="dxa"/>
              <w:bottom w:w="80" w:type="dxa"/>
              <w:right w:w="100" w:type="dxa"/>
            </w:tcMar>
            <w:vAlign w:val="center"/>
          </w:tcPr>
          <w:p w:rsidR="00FD67E1" w:rsidRDefault="00EE0B9A">
            <w:pPr>
              <w:spacing w:after="0"/>
            </w:pPr>
            <w:r>
              <w:rPr>
                <w:sz w:val="16"/>
              </w:rPr>
              <w:t>Institutional authority, business development, investment, partnerships, employer reputation and executive thought leadership.</w:t>
            </w:r>
          </w:p>
        </w:tc>
        <w:tc>
          <w:tcPr>
            <w:tcW w:w="4824" w:type="dxa"/>
            <w:tcMar>
              <w:top w:w="80" w:type="dxa"/>
              <w:left w:w="100" w:type="dxa"/>
              <w:bottom w:w="80" w:type="dxa"/>
              <w:right w:w="100" w:type="dxa"/>
            </w:tcMar>
            <w:vAlign w:val="center"/>
          </w:tcPr>
          <w:p w:rsidR="00FD67E1" w:rsidRDefault="00EE0B9A">
            <w:pPr>
              <w:spacing w:after="0"/>
            </w:pPr>
            <w:r>
              <w:rPr>
                <w:sz w:val="16"/>
              </w:rPr>
              <w:t>Separate account and entity-specific plan for all six entities.</w:t>
            </w:r>
          </w:p>
        </w:tc>
      </w:tr>
      <w:tr w:rsidR="00FD67E1">
        <w:trPr>
          <w:cantSplit/>
          <w:jc w:val="center"/>
        </w:trPr>
        <w:tc>
          <w:tcPr>
            <w:tcW w:w="1656" w:type="dxa"/>
            <w:shd w:val="clear" w:color="auto" w:fill="F4F7F8"/>
            <w:tcMar>
              <w:top w:w="80" w:type="dxa"/>
              <w:left w:w="100" w:type="dxa"/>
              <w:bottom w:w="80" w:type="dxa"/>
              <w:right w:w="100" w:type="dxa"/>
            </w:tcMar>
            <w:vAlign w:val="center"/>
          </w:tcPr>
          <w:p w:rsidR="00FD67E1" w:rsidRDefault="00EE0B9A">
            <w:pPr>
              <w:spacing w:after="0"/>
            </w:pPr>
            <w:r>
              <w:rPr>
                <w:sz w:val="16"/>
              </w:rPr>
              <w:t>Instagram</w:t>
            </w:r>
          </w:p>
        </w:tc>
        <w:tc>
          <w:tcPr>
            <w:tcW w:w="3168" w:type="dxa"/>
            <w:shd w:val="clear" w:color="auto" w:fill="F4F7F8"/>
            <w:tcMar>
              <w:top w:w="80" w:type="dxa"/>
              <w:left w:w="100" w:type="dxa"/>
              <w:bottom w:w="80" w:type="dxa"/>
              <w:right w:w="100" w:type="dxa"/>
            </w:tcMar>
            <w:vAlign w:val="center"/>
          </w:tcPr>
          <w:p w:rsidR="00FD67E1" w:rsidRDefault="00EE0B9A">
            <w:pPr>
              <w:spacing w:after="0"/>
            </w:pPr>
            <w:r>
              <w:rPr>
                <w:sz w:val="16"/>
              </w:rPr>
              <w:t>Founder stories, programmes, spaces, community, events and visual proof.</w:t>
            </w:r>
          </w:p>
        </w:tc>
        <w:tc>
          <w:tcPr>
            <w:tcW w:w="4824" w:type="dxa"/>
            <w:shd w:val="clear" w:color="auto" w:fill="F4F7F8"/>
            <w:tcMar>
              <w:top w:w="80" w:type="dxa"/>
              <w:left w:w="100" w:type="dxa"/>
              <w:bottom w:w="80" w:type="dxa"/>
              <w:right w:w="100" w:type="dxa"/>
            </w:tcMar>
            <w:vAlign w:val="center"/>
          </w:tcPr>
          <w:p w:rsidR="00FD67E1" w:rsidRDefault="00EE0B9A">
            <w:pPr>
              <w:spacing w:after="0"/>
            </w:pPr>
            <w:r>
              <w:rPr>
                <w:sz w:val="16"/>
              </w:rPr>
              <w:t>Separate account and entity-specific plan for all six entities.</w:t>
            </w:r>
          </w:p>
        </w:tc>
      </w:tr>
      <w:tr w:rsidR="00FD67E1">
        <w:trPr>
          <w:cantSplit/>
          <w:jc w:val="center"/>
        </w:trPr>
        <w:tc>
          <w:tcPr>
            <w:tcW w:w="1656" w:type="dxa"/>
            <w:tcMar>
              <w:top w:w="80" w:type="dxa"/>
              <w:left w:w="100" w:type="dxa"/>
              <w:bottom w:w="80" w:type="dxa"/>
              <w:right w:w="100" w:type="dxa"/>
            </w:tcMar>
            <w:vAlign w:val="center"/>
          </w:tcPr>
          <w:p w:rsidR="00FD67E1" w:rsidRDefault="00EE0B9A">
            <w:pPr>
              <w:spacing w:after="0"/>
            </w:pPr>
            <w:r>
              <w:rPr>
                <w:sz w:val="16"/>
              </w:rPr>
              <w:lastRenderedPageBreak/>
              <w:t>X</w:t>
            </w:r>
          </w:p>
        </w:tc>
        <w:tc>
          <w:tcPr>
            <w:tcW w:w="3168" w:type="dxa"/>
            <w:tcMar>
              <w:top w:w="80" w:type="dxa"/>
              <w:left w:w="100" w:type="dxa"/>
              <w:bottom w:w="80" w:type="dxa"/>
              <w:right w:w="100" w:type="dxa"/>
            </w:tcMar>
            <w:vAlign w:val="center"/>
          </w:tcPr>
          <w:p w:rsidR="00FD67E1" w:rsidRDefault="00EE0B9A">
            <w:pPr>
              <w:spacing w:after="0"/>
            </w:pPr>
            <w:r>
              <w:rPr>
                <w:sz w:val="16"/>
              </w:rPr>
              <w:t>Announcements, institutional participation, media visibility and real-time event communication.</w:t>
            </w:r>
          </w:p>
        </w:tc>
        <w:tc>
          <w:tcPr>
            <w:tcW w:w="4824" w:type="dxa"/>
            <w:tcMar>
              <w:top w:w="80" w:type="dxa"/>
              <w:left w:w="100" w:type="dxa"/>
              <w:bottom w:w="80" w:type="dxa"/>
              <w:right w:w="100" w:type="dxa"/>
            </w:tcMar>
            <w:vAlign w:val="center"/>
          </w:tcPr>
          <w:p w:rsidR="00FD67E1" w:rsidRDefault="00EE0B9A">
            <w:pPr>
              <w:spacing w:after="0"/>
            </w:pPr>
            <w:r>
              <w:rPr>
                <w:sz w:val="16"/>
              </w:rPr>
              <w:t>Separate account and entity-specific plan for all six entities.</w:t>
            </w:r>
          </w:p>
        </w:tc>
      </w:tr>
      <w:tr w:rsidR="00FD67E1">
        <w:trPr>
          <w:cantSplit/>
          <w:jc w:val="center"/>
        </w:trPr>
        <w:tc>
          <w:tcPr>
            <w:tcW w:w="1656" w:type="dxa"/>
            <w:shd w:val="clear" w:color="auto" w:fill="F4F7F8"/>
            <w:tcMar>
              <w:top w:w="80" w:type="dxa"/>
              <w:left w:w="100" w:type="dxa"/>
              <w:bottom w:w="80" w:type="dxa"/>
              <w:right w:w="100" w:type="dxa"/>
            </w:tcMar>
            <w:vAlign w:val="center"/>
          </w:tcPr>
          <w:p w:rsidR="00FD67E1" w:rsidRDefault="00EE0B9A">
            <w:pPr>
              <w:spacing w:after="0"/>
            </w:pPr>
            <w:r>
              <w:rPr>
                <w:sz w:val="16"/>
              </w:rPr>
              <w:t>YouTube</w:t>
            </w:r>
          </w:p>
        </w:tc>
        <w:tc>
          <w:tcPr>
            <w:tcW w:w="3168" w:type="dxa"/>
            <w:shd w:val="clear" w:color="auto" w:fill="F4F7F8"/>
            <w:tcMar>
              <w:top w:w="80" w:type="dxa"/>
              <w:left w:w="100" w:type="dxa"/>
              <w:bottom w:w="80" w:type="dxa"/>
              <w:right w:w="100" w:type="dxa"/>
            </w:tcMar>
            <w:vAlign w:val="center"/>
          </w:tcPr>
          <w:p w:rsidR="00FD67E1" w:rsidRDefault="00EE0B9A">
            <w:pPr>
              <w:spacing w:after="0"/>
            </w:pPr>
            <w:r>
              <w:rPr>
                <w:sz w:val="16"/>
              </w:rPr>
              <w:t>Hero films, explainers, interviews, programme learning, event highlights and searchable long-form proof.</w:t>
            </w:r>
          </w:p>
        </w:tc>
        <w:tc>
          <w:tcPr>
            <w:tcW w:w="4824" w:type="dxa"/>
            <w:shd w:val="clear" w:color="auto" w:fill="F4F7F8"/>
            <w:tcMar>
              <w:top w:w="80" w:type="dxa"/>
              <w:left w:w="100" w:type="dxa"/>
              <w:bottom w:w="80" w:type="dxa"/>
              <w:right w:w="100" w:type="dxa"/>
            </w:tcMar>
            <w:vAlign w:val="center"/>
          </w:tcPr>
          <w:p w:rsidR="00FD67E1" w:rsidRDefault="00EE0B9A">
            <w:pPr>
              <w:spacing w:after="0"/>
            </w:pPr>
            <w:r>
              <w:rPr>
                <w:sz w:val="16"/>
              </w:rPr>
              <w:t>Separate channel and entity-specific video plan for all six entities.</w:t>
            </w:r>
          </w:p>
        </w:tc>
      </w:tr>
      <w:tr w:rsidR="00FD67E1">
        <w:trPr>
          <w:cantSplit/>
          <w:jc w:val="center"/>
        </w:trPr>
        <w:tc>
          <w:tcPr>
            <w:tcW w:w="1656" w:type="dxa"/>
            <w:tcMar>
              <w:top w:w="80" w:type="dxa"/>
              <w:left w:w="100" w:type="dxa"/>
              <w:bottom w:w="80" w:type="dxa"/>
              <w:right w:w="100" w:type="dxa"/>
            </w:tcMar>
            <w:vAlign w:val="center"/>
          </w:tcPr>
          <w:p w:rsidR="00FD67E1" w:rsidRDefault="00EE0B9A">
            <w:pPr>
              <w:spacing w:after="0"/>
            </w:pPr>
            <w:r>
              <w:rPr>
                <w:sz w:val="16"/>
              </w:rPr>
              <w:t>TikTok</w:t>
            </w:r>
          </w:p>
        </w:tc>
        <w:tc>
          <w:tcPr>
            <w:tcW w:w="3168" w:type="dxa"/>
            <w:tcMar>
              <w:top w:w="80" w:type="dxa"/>
              <w:left w:w="100" w:type="dxa"/>
              <w:bottom w:w="80" w:type="dxa"/>
              <w:right w:w="100" w:type="dxa"/>
            </w:tcMar>
            <w:vAlign w:val="center"/>
          </w:tcPr>
          <w:p w:rsidR="00FD67E1" w:rsidRDefault="00EE0B9A">
            <w:pPr>
              <w:spacing w:after="0"/>
            </w:pPr>
            <w:r>
              <w:rPr>
                <w:sz w:val="16"/>
              </w:rPr>
              <w:t>Founder education, opportunities, behind-the-scenes and accessible entrepreneurial content.</w:t>
            </w:r>
          </w:p>
        </w:tc>
        <w:tc>
          <w:tcPr>
            <w:tcW w:w="4824" w:type="dxa"/>
            <w:tcMar>
              <w:top w:w="80" w:type="dxa"/>
              <w:left w:w="100" w:type="dxa"/>
              <w:bottom w:w="80" w:type="dxa"/>
              <w:right w:w="100" w:type="dxa"/>
            </w:tcMar>
            <w:vAlign w:val="center"/>
          </w:tcPr>
          <w:p w:rsidR="00FD67E1" w:rsidRDefault="00EE0B9A">
            <w:pPr>
              <w:spacing w:after="0"/>
            </w:pPr>
            <w:r>
              <w:rPr>
                <w:sz w:val="16"/>
              </w:rPr>
              <w:t>Separate account and entity-specific plan for all six entities without trend participation that undermines credibility.</w:t>
            </w:r>
          </w:p>
        </w:tc>
      </w:tr>
    </w:tbl>
    <w:p w:rsidR="00FD67E1" w:rsidRDefault="00FD67E1">
      <w:pPr>
        <w:spacing w:after="0"/>
      </w:pPr>
    </w:p>
    <w:p w:rsidR="00FD67E1" w:rsidRDefault="00EE0B9A">
      <w:pPr>
        <w:pStyle w:val="Heading2"/>
      </w:pPr>
      <w:r>
        <w:t>D2 Editorial system</w:t>
      </w:r>
    </w:p>
    <w:tbl>
      <w:tblPr>
        <w:tblStyle w:val="TableGrid"/>
        <w:tblW w:w="0" w:type="auto"/>
        <w:jc w:val="center"/>
        <w:tblLook w:val="04A0" w:firstRow="1" w:lastRow="0" w:firstColumn="1" w:lastColumn="0" w:noHBand="0" w:noVBand="1"/>
      </w:tblPr>
      <w:tblGrid>
        <w:gridCol w:w="2088"/>
        <w:gridCol w:w="3672"/>
        <w:gridCol w:w="3888"/>
      </w:tblGrid>
      <w:tr w:rsidR="00FD67E1">
        <w:trPr>
          <w:cantSplit/>
          <w:tblHeader/>
          <w:jc w:val="center"/>
        </w:trPr>
        <w:tc>
          <w:tcPr>
            <w:tcW w:w="2088" w:type="dxa"/>
            <w:shd w:val="clear" w:color="auto" w:fill="13283F"/>
            <w:tcMar>
              <w:top w:w="80" w:type="dxa"/>
              <w:left w:w="100" w:type="dxa"/>
              <w:bottom w:w="80" w:type="dxa"/>
              <w:right w:w="100" w:type="dxa"/>
            </w:tcMar>
          </w:tcPr>
          <w:p w:rsidR="00FD67E1" w:rsidRDefault="00EE0B9A">
            <w:r>
              <w:rPr>
                <w:b/>
                <w:color w:val="FFFFFF"/>
                <w:sz w:val="16"/>
              </w:rPr>
              <w:t>Content pillar</w:t>
            </w:r>
          </w:p>
        </w:tc>
        <w:tc>
          <w:tcPr>
            <w:tcW w:w="3672" w:type="dxa"/>
            <w:shd w:val="clear" w:color="auto" w:fill="13283F"/>
            <w:tcMar>
              <w:top w:w="80" w:type="dxa"/>
              <w:left w:w="100" w:type="dxa"/>
              <w:bottom w:w="80" w:type="dxa"/>
              <w:right w:w="100" w:type="dxa"/>
            </w:tcMar>
          </w:tcPr>
          <w:p w:rsidR="00FD67E1" w:rsidRDefault="00EE0B9A">
            <w:r>
              <w:rPr>
                <w:b/>
                <w:color w:val="FFFFFF"/>
                <w:sz w:val="16"/>
              </w:rPr>
              <w:t>Purpose</w:t>
            </w:r>
          </w:p>
        </w:tc>
        <w:tc>
          <w:tcPr>
            <w:tcW w:w="3888" w:type="dxa"/>
            <w:shd w:val="clear" w:color="auto" w:fill="13283F"/>
            <w:tcMar>
              <w:top w:w="80" w:type="dxa"/>
              <w:left w:w="100" w:type="dxa"/>
              <w:bottom w:w="80" w:type="dxa"/>
              <w:right w:w="100" w:type="dxa"/>
            </w:tcMar>
          </w:tcPr>
          <w:p w:rsidR="00FD67E1" w:rsidRDefault="00EE0B9A">
            <w:r>
              <w:rPr>
                <w:b/>
                <w:color w:val="FFFFFF"/>
                <w:sz w:val="16"/>
              </w:rPr>
              <w:t>Example evidence or action</w:t>
            </w:r>
          </w:p>
        </w:tc>
      </w:tr>
      <w:tr w:rsidR="00FD67E1">
        <w:trPr>
          <w:cantSplit/>
          <w:jc w:val="center"/>
        </w:trPr>
        <w:tc>
          <w:tcPr>
            <w:tcW w:w="2088" w:type="dxa"/>
            <w:tcMar>
              <w:top w:w="80" w:type="dxa"/>
              <w:left w:w="100" w:type="dxa"/>
              <w:bottom w:w="80" w:type="dxa"/>
              <w:right w:w="100" w:type="dxa"/>
            </w:tcMar>
            <w:vAlign w:val="center"/>
          </w:tcPr>
          <w:p w:rsidR="00FD67E1" w:rsidRDefault="00EE0B9A">
            <w:pPr>
              <w:spacing w:after="0"/>
            </w:pPr>
            <w:r>
              <w:rPr>
                <w:sz w:val="16"/>
              </w:rPr>
              <w:t>Entrepreneurship</w:t>
            </w:r>
          </w:p>
        </w:tc>
        <w:tc>
          <w:tcPr>
            <w:tcW w:w="3672" w:type="dxa"/>
            <w:tcMar>
              <w:top w:w="80" w:type="dxa"/>
              <w:left w:w="100" w:type="dxa"/>
              <w:bottom w:w="80" w:type="dxa"/>
              <w:right w:w="100" w:type="dxa"/>
            </w:tcMar>
            <w:vAlign w:val="center"/>
          </w:tcPr>
          <w:p w:rsidR="00FD67E1" w:rsidRDefault="00EE0B9A">
            <w:pPr>
              <w:spacing w:after="0"/>
            </w:pPr>
            <w:r>
              <w:rPr>
                <w:sz w:val="16"/>
              </w:rPr>
              <w:t>Help founders act and demonstrate the venture journey.</w:t>
            </w:r>
          </w:p>
        </w:tc>
        <w:tc>
          <w:tcPr>
            <w:tcW w:w="3888" w:type="dxa"/>
            <w:tcMar>
              <w:top w:w="80" w:type="dxa"/>
              <w:left w:w="100" w:type="dxa"/>
              <w:bottom w:w="80" w:type="dxa"/>
              <w:right w:w="100" w:type="dxa"/>
            </w:tcMar>
            <w:vAlign w:val="center"/>
          </w:tcPr>
          <w:p w:rsidR="00FD67E1" w:rsidRDefault="00EE0B9A">
            <w:pPr>
              <w:spacing w:after="0"/>
            </w:pPr>
            <w:r>
              <w:rPr>
                <w:sz w:val="16"/>
              </w:rPr>
              <w:t>Applications, mentor guidance, founder progress, product or customer milestones.</w:t>
            </w:r>
          </w:p>
        </w:tc>
      </w:tr>
      <w:tr w:rsidR="00FD67E1">
        <w:trPr>
          <w:cantSplit/>
          <w:jc w:val="center"/>
        </w:trPr>
        <w:tc>
          <w:tcPr>
            <w:tcW w:w="2088" w:type="dxa"/>
            <w:shd w:val="clear" w:color="auto" w:fill="F4F7F8"/>
            <w:tcMar>
              <w:top w:w="80" w:type="dxa"/>
              <w:left w:w="100" w:type="dxa"/>
              <w:bottom w:w="80" w:type="dxa"/>
              <w:right w:w="100" w:type="dxa"/>
            </w:tcMar>
            <w:vAlign w:val="center"/>
          </w:tcPr>
          <w:p w:rsidR="00FD67E1" w:rsidRDefault="00EE0B9A">
            <w:pPr>
              <w:spacing w:after="0"/>
            </w:pPr>
            <w:r>
              <w:rPr>
                <w:sz w:val="16"/>
              </w:rPr>
              <w:t>Investment</w:t>
            </w:r>
          </w:p>
        </w:tc>
        <w:tc>
          <w:tcPr>
            <w:tcW w:w="3672" w:type="dxa"/>
            <w:shd w:val="clear" w:color="auto" w:fill="F4F7F8"/>
            <w:tcMar>
              <w:top w:w="80" w:type="dxa"/>
              <w:left w:w="100" w:type="dxa"/>
              <w:bottom w:w="80" w:type="dxa"/>
              <w:right w:w="100" w:type="dxa"/>
            </w:tcMar>
            <w:vAlign w:val="center"/>
          </w:tcPr>
          <w:p w:rsidR="00FD67E1" w:rsidRDefault="00EE0B9A">
            <w:pPr>
              <w:spacing w:after="0"/>
            </w:pPr>
            <w:r>
              <w:rPr>
                <w:sz w:val="16"/>
              </w:rPr>
              <w:t>Explain disciplined capital and investment readiness without solicitation or exaggerated claims.</w:t>
            </w:r>
          </w:p>
        </w:tc>
        <w:tc>
          <w:tcPr>
            <w:tcW w:w="3888" w:type="dxa"/>
            <w:shd w:val="clear" w:color="auto" w:fill="F4F7F8"/>
            <w:tcMar>
              <w:top w:w="80" w:type="dxa"/>
              <w:left w:w="100" w:type="dxa"/>
              <w:bottom w:w="80" w:type="dxa"/>
              <w:right w:w="100" w:type="dxa"/>
            </w:tcMar>
            <w:vAlign w:val="center"/>
          </w:tcPr>
          <w:p w:rsidR="00FD67E1" w:rsidRDefault="00EE0B9A">
            <w:pPr>
              <w:spacing w:after="0"/>
            </w:pPr>
            <w:r>
              <w:rPr>
                <w:sz w:val="16"/>
              </w:rPr>
              <w:t>Approved criteria, education, verified transactions, portfolio support and investor perspectives.</w:t>
            </w:r>
          </w:p>
        </w:tc>
      </w:tr>
      <w:tr w:rsidR="00FD67E1">
        <w:trPr>
          <w:cantSplit/>
          <w:jc w:val="center"/>
        </w:trPr>
        <w:tc>
          <w:tcPr>
            <w:tcW w:w="2088" w:type="dxa"/>
            <w:tcMar>
              <w:top w:w="80" w:type="dxa"/>
              <w:left w:w="100" w:type="dxa"/>
              <w:bottom w:w="80" w:type="dxa"/>
              <w:right w:w="100" w:type="dxa"/>
            </w:tcMar>
            <w:vAlign w:val="center"/>
          </w:tcPr>
          <w:p w:rsidR="00FD67E1" w:rsidRDefault="00EE0B9A">
            <w:pPr>
              <w:spacing w:after="0"/>
            </w:pPr>
            <w:r>
              <w:rPr>
                <w:sz w:val="16"/>
              </w:rPr>
              <w:t>AI and technology</w:t>
            </w:r>
          </w:p>
        </w:tc>
        <w:tc>
          <w:tcPr>
            <w:tcW w:w="3672" w:type="dxa"/>
            <w:tcMar>
              <w:top w:w="80" w:type="dxa"/>
              <w:left w:w="100" w:type="dxa"/>
              <w:bottom w:w="80" w:type="dxa"/>
              <w:right w:w="100" w:type="dxa"/>
            </w:tcMar>
            <w:vAlign w:val="center"/>
          </w:tcPr>
          <w:p w:rsidR="00FD67E1" w:rsidRDefault="00EE0B9A">
            <w:pPr>
              <w:spacing w:after="0"/>
            </w:pPr>
            <w:r>
              <w:rPr>
                <w:sz w:val="16"/>
              </w:rPr>
              <w:t>Show practical business use and relevant Arabic innovation.</w:t>
            </w:r>
          </w:p>
        </w:tc>
        <w:tc>
          <w:tcPr>
            <w:tcW w:w="3888" w:type="dxa"/>
            <w:tcMar>
              <w:top w:w="80" w:type="dxa"/>
              <w:left w:w="100" w:type="dxa"/>
              <w:bottom w:w="80" w:type="dxa"/>
              <w:right w:w="100" w:type="dxa"/>
            </w:tcMar>
            <w:vAlign w:val="center"/>
          </w:tcPr>
          <w:p w:rsidR="00FD67E1" w:rsidRDefault="00EE0B9A">
            <w:pPr>
              <w:spacing w:after="0"/>
            </w:pPr>
            <w:r>
              <w:rPr>
                <w:sz w:val="16"/>
              </w:rPr>
              <w:t>Demonstrations, founder use cases, operational outcomes and expert explanations.</w:t>
            </w:r>
          </w:p>
        </w:tc>
      </w:tr>
      <w:tr w:rsidR="00FD67E1">
        <w:trPr>
          <w:cantSplit/>
          <w:jc w:val="center"/>
        </w:trPr>
        <w:tc>
          <w:tcPr>
            <w:tcW w:w="2088" w:type="dxa"/>
            <w:shd w:val="clear" w:color="auto" w:fill="F4F7F8"/>
            <w:tcMar>
              <w:top w:w="80" w:type="dxa"/>
              <w:left w:w="100" w:type="dxa"/>
              <w:bottom w:w="80" w:type="dxa"/>
              <w:right w:w="100" w:type="dxa"/>
            </w:tcMar>
            <w:vAlign w:val="center"/>
          </w:tcPr>
          <w:p w:rsidR="00FD67E1" w:rsidRDefault="00EE0B9A">
            <w:pPr>
              <w:spacing w:after="0"/>
            </w:pPr>
            <w:r>
              <w:rPr>
                <w:sz w:val="16"/>
              </w:rPr>
              <w:t>Impact</w:t>
            </w:r>
          </w:p>
        </w:tc>
        <w:tc>
          <w:tcPr>
            <w:tcW w:w="3672" w:type="dxa"/>
            <w:shd w:val="clear" w:color="auto" w:fill="F4F7F8"/>
            <w:tcMar>
              <w:top w:w="80" w:type="dxa"/>
              <w:left w:w="100" w:type="dxa"/>
              <w:bottom w:w="80" w:type="dxa"/>
              <w:right w:w="100" w:type="dxa"/>
            </w:tcMar>
            <w:vAlign w:val="center"/>
          </w:tcPr>
          <w:p w:rsidR="00FD67E1" w:rsidRDefault="00EE0B9A">
            <w:pPr>
              <w:spacing w:after="0"/>
            </w:pPr>
            <w:r>
              <w:rPr>
                <w:sz w:val="16"/>
              </w:rPr>
              <w:t>Show measurable participation, access and community benefit.</w:t>
            </w:r>
          </w:p>
        </w:tc>
        <w:tc>
          <w:tcPr>
            <w:tcW w:w="3888" w:type="dxa"/>
            <w:shd w:val="clear" w:color="auto" w:fill="F4F7F8"/>
            <w:tcMar>
              <w:top w:w="80" w:type="dxa"/>
              <w:left w:w="100" w:type="dxa"/>
              <w:bottom w:w="80" w:type="dxa"/>
              <w:right w:w="100" w:type="dxa"/>
            </w:tcMar>
            <w:vAlign w:val="center"/>
          </w:tcPr>
          <w:p w:rsidR="00FD67E1" w:rsidRDefault="00EE0B9A">
            <w:pPr>
              <w:spacing w:after="0"/>
            </w:pPr>
            <w:r>
              <w:rPr>
                <w:sz w:val="16"/>
              </w:rPr>
              <w:t>Verified youth, women, UAE national, student, people-of-determination, Masfout and Manama outcomes.</w:t>
            </w:r>
          </w:p>
        </w:tc>
      </w:tr>
      <w:tr w:rsidR="00FD67E1">
        <w:trPr>
          <w:cantSplit/>
          <w:jc w:val="center"/>
        </w:trPr>
        <w:tc>
          <w:tcPr>
            <w:tcW w:w="2088" w:type="dxa"/>
            <w:tcMar>
              <w:top w:w="80" w:type="dxa"/>
              <w:left w:w="100" w:type="dxa"/>
              <w:bottom w:w="80" w:type="dxa"/>
              <w:right w:w="100" w:type="dxa"/>
            </w:tcMar>
            <w:vAlign w:val="center"/>
          </w:tcPr>
          <w:p w:rsidR="00FD67E1" w:rsidRDefault="00EE0B9A">
            <w:pPr>
              <w:spacing w:after="0"/>
            </w:pPr>
            <w:r>
              <w:rPr>
                <w:sz w:val="16"/>
              </w:rPr>
              <w:t>Ajman economy</w:t>
            </w:r>
          </w:p>
        </w:tc>
        <w:tc>
          <w:tcPr>
            <w:tcW w:w="3672" w:type="dxa"/>
            <w:tcMar>
              <w:top w:w="80" w:type="dxa"/>
              <w:left w:w="100" w:type="dxa"/>
              <w:bottom w:w="80" w:type="dxa"/>
              <w:right w:w="100" w:type="dxa"/>
            </w:tcMar>
            <w:vAlign w:val="center"/>
          </w:tcPr>
          <w:p w:rsidR="00FD67E1" w:rsidRDefault="00EE0B9A">
            <w:pPr>
              <w:spacing w:after="0"/>
            </w:pPr>
            <w:r>
              <w:rPr>
                <w:sz w:val="16"/>
              </w:rPr>
              <w:t>Connect Tharaa to private-sector growth and Ajman’s advantages.</w:t>
            </w:r>
          </w:p>
        </w:tc>
        <w:tc>
          <w:tcPr>
            <w:tcW w:w="3888" w:type="dxa"/>
            <w:tcMar>
              <w:top w:w="80" w:type="dxa"/>
              <w:left w:w="100" w:type="dxa"/>
              <w:bottom w:w="80" w:type="dxa"/>
              <w:right w:w="100" w:type="dxa"/>
            </w:tcMar>
            <w:vAlign w:val="center"/>
          </w:tcPr>
          <w:p w:rsidR="00FD67E1" w:rsidRDefault="00EE0B9A">
            <w:pPr>
              <w:spacing w:after="0"/>
            </w:pPr>
            <w:r>
              <w:rPr>
                <w:sz w:val="16"/>
              </w:rPr>
              <w:t>Member stories, market-entry journeys, jobs, partnerships and verified business outcomes.</w:t>
            </w:r>
          </w:p>
        </w:tc>
      </w:tr>
      <w:tr w:rsidR="00FD67E1">
        <w:trPr>
          <w:cantSplit/>
          <w:jc w:val="center"/>
        </w:trPr>
        <w:tc>
          <w:tcPr>
            <w:tcW w:w="2088" w:type="dxa"/>
            <w:shd w:val="clear" w:color="auto" w:fill="F4F7F8"/>
            <w:tcMar>
              <w:top w:w="80" w:type="dxa"/>
              <w:left w:w="100" w:type="dxa"/>
              <w:bottom w:w="80" w:type="dxa"/>
              <w:right w:w="100" w:type="dxa"/>
            </w:tcMar>
            <w:vAlign w:val="center"/>
          </w:tcPr>
          <w:p w:rsidR="00FD67E1" w:rsidRDefault="00EE0B9A">
            <w:pPr>
              <w:spacing w:after="0"/>
            </w:pPr>
            <w:r>
              <w:rPr>
                <w:sz w:val="16"/>
              </w:rPr>
              <w:t>Business growth</w:t>
            </w:r>
          </w:p>
        </w:tc>
        <w:tc>
          <w:tcPr>
            <w:tcW w:w="3672" w:type="dxa"/>
            <w:shd w:val="clear" w:color="auto" w:fill="F4F7F8"/>
            <w:tcMar>
              <w:top w:w="80" w:type="dxa"/>
              <w:left w:w="100" w:type="dxa"/>
              <w:bottom w:w="80" w:type="dxa"/>
              <w:right w:w="100" w:type="dxa"/>
            </w:tcMar>
            <w:vAlign w:val="center"/>
          </w:tcPr>
          <w:p w:rsidR="00FD67E1" w:rsidRDefault="00EE0B9A">
            <w:pPr>
              <w:spacing w:after="0"/>
            </w:pPr>
            <w:r>
              <w:rPr>
                <w:sz w:val="16"/>
              </w:rPr>
              <w:t>Provide useful knowledge and show Xperience and ecosystem capabilities.</w:t>
            </w:r>
          </w:p>
        </w:tc>
        <w:tc>
          <w:tcPr>
            <w:tcW w:w="3888" w:type="dxa"/>
            <w:shd w:val="clear" w:color="auto" w:fill="F4F7F8"/>
            <w:tcMar>
              <w:top w:w="80" w:type="dxa"/>
              <w:left w:w="100" w:type="dxa"/>
              <w:bottom w:w="80" w:type="dxa"/>
              <w:right w:w="100" w:type="dxa"/>
            </w:tcMar>
            <w:vAlign w:val="center"/>
          </w:tcPr>
          <w:p w:rsidR="00FD67E1" w:rsidRDefault="00EE0B9A">
            <w:pPr>
              <w:spacing w:after="0"/>
            </w:pPr>
            <w:r>
              <w:rPr>
                <w:sz w:val="16"/>
              </w:rPr>
              <w:t>Finance, HR, sales, customer service, marketing and operating playbooks.</w:t>
            </w:r>
          </w:p>
        </w:tc>
      </w:tr>
    </w:tbl>
    <w:p w:rsidR="00FD67E1" w:rsidRDefault="00FD67E1">
      <w:pPr>
        <w:spacing w:after="0"/>
      </w:pPr>
    </w:p>
    <w:p w:rsidR="00FD67E1" w:rsidRDefault="00EE0B9A">
      <w:pPr>
        <w:pStyle w:val="Heading2"/>
      </w:pPr>
      <w:r>
        <w:t>D3 Content quality standards</w:t>
      </w:r>
    </w:p>
    <w:p w:rsidR="00FD67E1" w:rsidRDefault="00EE0B9A">
      <w:pPr>
        <w:pStyle w:val="CompactBullet"/>
      </w:pPr>
      <w:r>
        <w:t>Every content item must have a defined objective, audience, entity owner, message, evidence source, call to action, format, language, channel and measurement tag.</w:t>
      </w:r>
    </w:p>
    <w:p w:rsidR="00FD67E1" w:rsidRDefault="00EE0B9A">
      <w:pPr>
        <w:pStyle w:val="CompactBullet"/>
      </w:pPr>
      <w:r>
        <w:t>Arabic must be written by a qualified native Arabic editorial professional. English must read as original professional copy. Literal translation, mixed terminology and inconsistent names will be rejected.</w:t>
      </w:r>
    </w:p>
    <w:p w:rsidR="00FD67E1" w:rsidRDefault="00EE0B9A">
      <w:pPr>
        <w:pStyle w:val="CompactBullet"/>
      </w:pPr>
      <w:r>
        <w:t>Video must include platform-appropriate framing, clean audio, colour correction, approved titles, Arabic and English subtitles where required, licensed music and accessible captions.</w:t>
      </w:r>
    </w:p>
    <w:p w:rsidR="00FD67E1" w:rsidRDefault="00EE0B9A">
      <w:pPr>
        <w:pStyle w:val="CompactBullet"/>
      </w:pPr>
      <w:r>
        <w:t>Photography must be authentic, consented, correctly captioned and delivered in organised high-resolution and web-ready versions.</w:t>
      </w:r>
    </w:p>
    <w:p w:rsidR="00FD67E1" w:rsidRDefault="00EE0B9A">
      <w:pPr>
        <w:pStyle w:val="CompactBullet"/>
      </w:pPr>
      <w:r>
        <w:t>Static and motion design must comply with the final identity, safe-area rules, accessibility and platform specifications.</w:t>
      </w:r>
    </w:p>
    <w:p w:rsidR="00FD67E1" w:rsidRDefault="00EE0B9A">
      <w:pPr>
        <w:pStyle w:val="CompactBullet"/>
      </w:pPr>
      <w:r>
        <w:t>Founder or beneficiary stories require written consent and verification of all results, investment amounts, job numbers, customer names and partnership references.</w:t>
      </w:r>
    </w:p>
    <w:p w:rsidR="00FD67E1" w:rsidRDefault="00EE0B9A">
      <w:pPr>
        <w:pStyle w:val="CompactBullet"/>
      </w:pPr>
      <w:r>
        <w:t>Content must avoid political endorsement, religious rulings, financial advice, guaranteed investment outcomes, unlicensed fund language and publication of confidential deal information.</w:t>
      </w:r>
    </w:p>
    <w:p w:rsidR="00FD67E1" w:rsidRDefault="00EE0B9A">
      <w:pPr>
        <w:pStyle w:val="CompactBullet"/>
      </w:pPr>
      <w:r>
        <w:t>The agency must maintain an evergreen content bank sufficient to prevent last-minute low-quality publishing while preserving capacity for current milestones.</w:t>
      </w:r>
    </w:p>
    <w:p w:rsidR="00FD67E1" w:rsidRDefault="00EE0B9A">
      <w:pPr>
        <w:pStyle w:val="Heading2"/>
      </w:pPr>
      <w:r>
        <w:t>D4 Monthly planning and production cycle</w:t>
      </w:r>
    </w:p>
    <w:tbl>
      <w:tblPr>
        <w:tblStyle w:val="TableGrid"/>
        <w:tblW w:w="0" w:type="auto"/>
        <w:jc w:val="center"/>
        <w:tblLook w:val="04A0" w:firstRow="1" w:lastRow="0" w:firstColumn="1" w:lastColumn="0" w:noHBand="0" w:noVBand="1"/>
      </w:tblPr>
      <w:tblGrid>
        <w:gridCol w:w="2448"/>
        <w:gridCol w:w="7200"/>
      </w:tblGrid>
      <w:tr w:rsidR="00FD67E1">
        <w:trPr>
          <w:cantSplit/>
          <w:tblHeader/>
          <w:jc w:val="center"/>
        </w:trPr>
        <w:tc>
          <w:tcPr>
            <w:tcW w:w="2448" w:type="dxa"/>
            <w:shd w:val="clear" w:color="auto" w:fill="13283F"/>
            <w:tcMar>
              <w:top w:w="80" w:type="dxa"/>
              <w:left w:w="100" w:type="dxa"/>
              <w:bottom w:w="80" w:type="dxa"/>
              <w:right w:w="100" w:type="dxa"/>
            </w:tcMar>
          </w:tcPr>
          <w:p w:rsidR="00FD67E1" w:rsidRDefault="00EE0B9A">
            <w:r>
              <w:rPr>
                <w:b/>
                <w:color w:val="FFFFFF"/>
                <w:sz w:val="16"/>
              </w:rPr>
              <w:t>Timing</w:t>
            </w:r>
          </w:p>
        </w:tc>
        <w:tc>
          <w:tcPr>
            <w:tcW w:w="7200" w:type="dxa"/>
            <w:shd w:val="clear" w:color="auto" w:fill="13283F"/>
            <w:tcMar>
              <w:top w:w="80" w:type="dxa"/>
              <w:left w:w="100" w:type="dxa"/>
              <w:bottom w:w="80" w:type="dxa"/>
              <w:right w:w="100" w:type="dxa"/>
            </w:tcMar>
          </w:tcPr>
          <w:p w:rsidR="00FD67E1" w:rsidRDefault="00EE0B9A">
            <w:r>
              <w:rPr>
                <w:b/>
                <w:color w:val="FFFFFF"/>
                <w:sz w:val="16"/>
              </w:rPr>
              <w:t>Agency requirement</w:t>
            </w:r>
          </w:p>
        </w:tc>
      </w:tr>
      <w:tr w:rsidR="00FD67E1">
        <w:trPr>
          <w:cantSplit/>
          <w:jc w:val="center"/>
        </w:trPr>
        <w:tc>
          <w:tcPr>
            <w:tcW w:w="2448" w:type="dxa"/>
            <w:tcMar>
              <w:top w:w="80" w:type="dxa"/>
              <w:left w:w="100" w:type="dxa"/>
              <w:bottom w:w="80" w:type="dxa"/>
              <w:right w:w="100" w:type="dxa"/>
            </w:tcMar>
            <w:vAlign w:val="center"/>
          </w:tcPr>
          <w:p w:rsidR="00FD67E1" w:rsidRDefault="00EE0B9A">
            <w:pPr>
              <w:spacing w:after="0"/>
            </w:pPr>
            <w:r>
              <w:rPr>
                <w:sz w:val="16"/>
              </w:rPr>
              <w:lastRenderedPageBreak/>
              <w:t>20 working days before month</w:t>
            </w:r>
          </w:p>
        </w:tc>
        <w:tc>
          <w:tcPr>
            <w:tcW w:w="7200" w:type="dxa"/>
            <w:tcMar>
              <w:top w:w="80" w:type="dxa"/>
              <w:left w:w="100" w:type="dxa"/>
              <w:bottom w:w="80" w:type="dxa"/>
              <w:right w:w="100" w:type="dxa"/>
            </w:tcMar>
            <w:vAlign w:val="center"/>
          </w:tcPr>
          <w:p w:rsidR="00FD67E1" w:rsidRDefault="00EE0B9A">
            <w:pPr>
              <w:spacing w:after="0"/>
            </w:pPr>
            <w:r>
              <w:rPr>
                <w:sz w:val="16"/>
              </w:rPr>
              <w:t>Confirm milestone calendar, campaign priorities, production needs, interviews, evidence and dependencies.</w:t>
            </w:r>
          </w:p>
        </w:tc>
      </w:tr>
      <w:tr w:rsidR="00FD67E1">
        <w:trPr>
          <w:cantSplit/>
          <w:jc w:val="center"/>
        </w:trPr>
        <w:tc>
          <w:tcPr>
            <w:tcW w:w="2448" w:type="dxa"/>
            <w:shd w:val="clear" w:color="auto" w:fill="F4F7F8"/>
            <w:tcMar>
              <w:top w:w="80" w:type="dxa"/>
              <w:left w:w="100" w:type="dxa"/>
              <w:bottom w:w="80" w:type="dxa"/>
              <w:right w:w="100" w:type="dxa"/>
            </w:tcMar>
            <w:vAlign w:val="center"/>
          </w:tcPr>
          <w:p w:rsidR="00FD67E1" w:rsidRDefault="00EE0B9A">
            <w:pPr>
              <w:spacing w:after="0"/>
            </w:pPr>
            <w:r>
              <w:rPr>
                <w:sz w:val="16"/>
              </w:rPr>
              <w:t>15 working days before month</w:t>
            </w:r>
          </w:p>
        </w:tc>
        <w:tc>
          <w:tcPr>
            <w:tcW w:w="7200" w:type="dxa"/>
            <w:shd w:val="clear" w:color="auto" w:fill="F4F7F8"/>
            <w:tcMar>
              <w:top w:w="80" w:type="dxa"/>
              <w:left w:w="100" w:type="dxa"/>
              <w:bottom w:w="80" w:type="dxa"/>
              <w:right w:w="100" w:type="dxa"/>
            </w:tcMar>
            <w:vAlign w:val="center"/>
          </w:tcPr>
          <w:p w:rsidR="00FD67E1" w:rsidRDefault="00EE0B9A">
            <w:pPr>
              <w:spacing w:after="0"/>
            </w:pPr>
            <w:r>
              <w:rPr>
                <w:sz w:val="16"/>
              </w:rPr>
              <w:t>Submit draft content architecture with objectives, formats, channels, paid support and production plan.</w:t>
            </w:r>
          </w:p>
        </w:tc>
      </w:tr>
      <w:tr w:rsidR="00FD67E1">
        <w:trPr>
          <w:cantSplit/>
          <w:jc w:val="center"/>
        </w:trPr>
        <w:tc>
          <w:tcPr>
            <w:tcW w:w="2448" w:type="dxa"/>
            <w:tcMar>
              <w:top w:w="80" w:type="dxa"/>
              <w:left w:w="100" w:type="dxa"/>
              <w:bottom w:w="80" w:type="dxa"/>
              <w:right w:w="100" w:type="dxa"/>
            </w:tcMar>
            <w:vAlign w:val="center"/>
          </w:tcPr>
          <w:p w:rsidR="00FD67E1" w:rsidRDefault="00EE0B9A">
            <w:pPr>
              <w:spacing w:after="0"/>
            </w:pPr>
            <w:r>
              <w:rPr>
                <w:sz w:val="16"/>
              </w:rPr>
              <w:t>10 working days before month</w:t>
            </w:r>
          </w:p>
        </w:tc>
        <w:tc>
          <w:tcPr>
            <w:tcW w:w="7200" w:type="dxa"/>
            <w:tcMar>
              <w:top w:w="80" w:type="dxa"/>
              <w:left w:w="100" w:type="dxa"/>
              <w:bottom w:w="80" w:type="dxa"/>
              <w:right w:w="100" w:type="dxa"/>
            </w:tcMar>
            <w:vAlign w:val="center"/>
          </w:tcPr>
          <w:p w:rsidR="00FD67E1" w:rsidRDefault="00EE0B9A">
            <w:pPr>
              <w:spacing w:after="0"/>
            </w:pPr>
            <w:r>
              <w:rPr>
                <w:sz w:val="16"/>
              </w:rPr>
              <w:t>Submit complete bilingual calendar and first production batch for consolidated review.</w:t>
            </w:r>
          </w:p>
        </w:tc>
      </w:tr>
      <w:tr w:rsidR="00FD67E1">
        <w:trPr>
          <w:cantSplit/>
          <w:jc w:val="center"/>
        </w:trPr>
        <w:tc>
          <w:tcPr>
            <w:tcW w:w="2448" w:type="dxa"/>
            <w:shd w:val="clear" w:color="auto" w:fill="F4F7F8"/>
            <w:tcMar>
              <w:top w:w="80" w:type="dxa"/>
              <w:left w:w="100" w:type="dxa"/>
              <w:bottom w:w="80" w:type="dxa"/>
              <w:right w:w="100" w:type="dxa"/>
            </w:tcMar>
            <w:vAlign w:val="center"/>
          </w:tcPr>
          <w:p w:rsidR="00FD67E1" w:rsidRDefault="00EE0B9A">
            <w:pPr>
              <w:spacing w:after="0"/>
            </w:pPr>
            <w:r>
              <w:rPr>
                <w:sz w:val="16"/>
              </w:rPr>
              <w:t>5 working days before month</w:t>
            </w:r>
          </w:p>
        </w:tc>
        <w:tc>
          <w:tcPr>
            <w:tcW w:w="7200" w:type="dxa"/>
            <w:shd w:val="clear" w:color="auto" w:fill="F4F7F8"/>
            <w:tcMar>
              <w:top w:w="80" w:type="dxa"/>
              <w:left w:w="100" w:type="dxa"/>
              <w:bottom w:w="80" w:type="dxa"/>
              <w:right w:w="100" w:type="dxa"/>
            </w:tcMar>
            <w:vAlign w:val="center"/>
          </w:tcPr>
          <w:p w:rsidR="00FD67E1" w:rsidRDefault="00EE0B9A">
            <w:pPr>
              <w:spacing w:after="0"/>
            </w:pPr>
            <w:r>
              <w:rPr>
                <w:sz w:val="16"/>
              </w:rPr>
              <w:t>Resolve feedback and submit final scheduled content, captions, links, tags and media plan.</w:t>
            </w:r>
          </w:p>
        </w:tc>
      </w:tr>
      <w:tr w:rsidR="00FD67E1">
        <w:trPr>
          <w:cantSplit/>
          <w:jc w:val="center"/>
        </w:trPr>
        <w:tc>
          <w:tcPr>
            <w:tcW w:w="2448" w:type="dxa"/>
            <w:tcMar>
              <w:top w:w="80" w:type="dxa"/>
              <w:left w:w="100" w:type="dxa"/>
              <w:bottom w:w="80" w:type="dxa"/>
              <w:right w:w="100" w:type="dxa"/>
            </w:tcMar>
            <w:vAlign w:val="center"/>
          </w:tcPr>
          <w:p w:rsidR="00FD67E1" w:rsidRDefault="00EE0B9A">
            <w:pPr>
              <w:spacing w:after="0"/>
            </w:pPr>
            <w:r>
              <w:rPr>
                <w:sz w:val="16"/>
              </w:rPr>
              <w:t>During month</w:t>
            </w:r>
          </w:p>
        </w:tc>
        <w:tc>
          <w:tcPr>
            <w:tcW w:w="7200" w:type="dxa"/>
            <w:tcMar>
              <w:top w:w="80" w:type="dxa"/>
              <w:left w:w="100" w:type="dxa"/>
              <w:bottom w:w="80" w:type="dxa"/>
              <w:right w:w="100" w:type="dxa"/>
            </w:tcMar>
            <w:vAlign w:val="center"/>
          </w:tcPr>
          <w:p w:rsidR="00FD67E1" w:rsidRDefault="00EE0B9A">
            <w:pPr>
              <w:spacing w:after="0"/>
            </w:pPr>
            <w:r>
              <w:rPr>
                <w:sz w:val="16"/>
              </w:rPr>
              <w:t>Publish approved content, moderate communities, monitor issues, cover events and update the live tracker.</w:t>
            </w:r>
          </w:p>
        </w:tc>
      </w:tr>
      <w:tr w:rsidR="00FD67E1">
        <w:trPr>
          <w:cantSplit/>
          <w:jc w:val="center"/>
        </w:trPr>
        <w:tc>
          <w:tcPr>
            <w:tcW w:w="2448" w:type="dxa"/>
            <w:shd w:val="clear" w:color="auto" w:fill="F4F7F8"/>
            <w:tcMar>
              <w:top w:w="80" w:type="dxa"/>
              <w:left w:w="100" w:type="dxa"/>
              <w:bottom w:w="80" w:type="dxa"/>
              <w:right w:w="100" w:type="dxa"/>
            </w:tcMar>
            <w:vAlign w:val="center"/>
          </w:tcPr>
          <w:p w:rsidR="00FD67E1" w:rsidRDefault="00EE0B9A">
            <w:pPr>
              <w:spacing w:after="0"/>
            </w:pPr>
            <w:r>
              <w:rPr>
                <w:sz w:val="16"/>
              </w:rPr>
              <w:t>Within 5 working days after month</w:t>
            </w:r>
          </w:p>
        </w:tc>
        <w:tc>
          <w:tcPr>
            <w:tcW w:w="7200" w:type="dxa"/>
            <w:shd w:val="clear" w:color="auto" w:fill="F4F7F8"/>
            <w:tcMar>
              <w:top w:w="80" w:type="dxa"/>
              <w:left w:w="100" w:type="dxa"/>
              <w:bottom w:w="80" w:type="dxa"/>
              <w:right w:w="100" w:type="dxa"/>
            </w:tcMar>
            <w:vAlign w:val="center"/>
          </w:tcPr>
          <w:p w:rsidR="00FD67E1" w:rsidRDefault="00EE0B9A">
            <w:pPr>
              <w:spacing w:after="0"/>
            </w:pPr>
            <w:r>
              <w:rPr>
                <w:sz w:val="16"/>
              </w:rPr>
              <w:t>Submit performance report, source data, asset archive, learning and next-month corrections.</w:t>
            </w:r>
          </w:p>
        </w:tc>
      </w:tr>
    </w:tbl>
    <w:p w:rsidR="00FD67E1" w:rsidRDefault="00FD67E1">
      <w:pPr>
        <w:spacing w:after="0"/>
      </w:pPr>
    </w:p>
    <w:p w:rsidR="00FD67E1" w:rsidRDefault="00EE0B9A">
      <w:pPr>
        <w:pStyle w:val="Heading2"/>
      </w:pPr>
      <w:r>
        <w:t>D5 Community management matrix</w:t>
      </w:r>
    </w:p>
    <w:tbl>
      <w:tblPr>
        <w:tblStyle w:val="TableGrid"/>
        <w:tblW w:w="0" w:type="auto"/>
        <w:jc w:val="center"/>
        <w:tblLook w:val="04A0" w:firstRow="1" w:lastRow="0" w:firstColumn="1" w:lastColumn="0" w:noHBand="0" w:noVBand="1"/>
      </w:tblPr>
      <w:tblGrid>
        <w:gridCol w:w="1944"/>
        <w:gridCol w:w="4608"/>
        <w:gridCol w:w="3096"/>
      </w:tblGrid>
      <w:tr w:rsidR="00FD67E1">
        <w:trPr>
          <w:cantSplit/>
          <w:tblHeader/>
          <w:jc w:val="center"/>
        </w:trPr>
        <w:tc>
          <w:tcPr>
            <w:tcW w:w="1944" w:type="dxa"/>
            <w:shd w:val="clear" w:color="auto" w:fill="13283F"/>
            <w:tcMar>
              <w:top w:w="80" w:type="dxa"/>
              <w:left w:w="100" w:type="dxa"/>
              <w:bottom w:w="80" w:type="dxa"/>
              <w:right w:w="100" w:type="dxa"/>
            </w:tcMar>
          </w:tcPr>
          <w:p w:rsidR="00FD67E1" w:rsidRDefault="00EE0B9A">
            <w:r>
              <w:rPr>
                <w:b/>
                <w:color w:val="FFFFFF"/>
                <w:sz w:val="16"/>
              </w:rPr>
              <w:t>Interaction</w:t>
            </w:r>
          </w:p>
        </w:tc>
        <w:tc>
          <w:tcPr>
            <w:tcW w:w="4608" w:type="dxa"/>
            <w:shd w:val="clear" w:color="auto" w:fill="13283F"/>
            <w:tcMar>
              <w:top w:w="80" w:type="dxa"/>
              <w:left w:w="100" w:type="dxa"/>
              <w:bottom w:w="80" w:type="dxa"/>
              <w:right w:w="100" w:type="dxa"/>
            </w:tcMar>
          </w:tcPr>
          <w:p w:rsidR="00FD67E1" w:rsidRDefault="00EE0B9A">
            <w:r>
              <w:rPr>
                <w:b/>
                <w:color w:val="FFFFFF"/>
                <w:sz w:val="16"/>
              </w:rPr>
              <w:t>Response rule</w:t>
            </w:r>
          </w:p>
        </w:tc>
        <w:tc>
          <w:tcPr>
            <w:tcW w:w="3096" w:type="dxa"/>
            <w:shd w:val="clear" w:color="auto" w:fill="13283F"/>
            <w:tcMar>
              <w:top w:w="80" w:type="dxa"/>
              <w:left w:w="100" w:type="dxa"/>
              <w:bottom w:w="80" w:type="dxa"/>
              <w:right w:w="100" w:type="dxa"/>
            </w:tcMar>
          </w:tcPr>
          <w:p w:rsidR="00FD67E1" w:rsidRDefault="00EE0B9A">
            <w:r>
              <w:rPr>
                <w:b/>
                <w:color w:val="FFFFFF"/>
                <w:sz w:val="16"/>
              </w:rPr>
              <w:t>Escalation</w:t>
            </w:r>
          </w:p>
        </w:tc>
      </w:tr>
      <w:tr w:rsidR="00FD67E1">
        <w:trPr>
          <w:cantSplit/>
          <w:jc w:val="center"/>
        </w:trPr>
        <w:tc>
          <w:tcPr>
            <w:tcW w:w="1944" w:type="dxa"/>
            <w:tcMar>
              <w:top w:w="80" w:type="dxa"/>
              <w:left w:w="100" w:type="dxa"/>
              <w:bottom w:w="80" w:type="dxa"/>
              <w:right w:w="100" w:type="dxa"/>
            </w:tcMar>
            <w:vAlign w:val="center"/>
          </w:tcPr>
          <w:p w:rsidR="00FD67E1" w:rsidRDefault="00EE0B9A">
            <w:pPr>
              <w:spacing w:after="0"/>
            </w:pPr>
            <w:r>
              <w:rPr>
                <w:sz w:val="16"/>
              </w:rPr>
              <w:t>General information</w:t>
            </w:r>
          </w:p>
        </w:tc>
        <w:tc>
          <w:tcPr>
            <w:tcW w:w="4608" w:type="dxa"/>
            <w:tcMar>
              <w:top w:w="80" w:type="dxa"/>
              <w:left w:w="100" w:type="dxa"/>
              <w:bottom w:w="80" w:type="dxa"/>
              <w:right w:w="100" w:type="dxa"/>
            </w:tcMar>
            <w:vAlign w:val="center"/>
          </w:tcPr>
          <w:p w:rsidR="00FD67E1" w:rsidRDefault="00EE0B9A">
            <w:pPr>
              <w:spacing w:after="0"/>
            </w:pPr>
            <w:r>
              <w:rPr>
                <w:sz w:val="16"/>
              </w:rPr>
              <w:t>Use approved answer or route to the correct page/form.</w:t>
            </w:r>
          </w:p>
        </w:tc>
        <w:tc>
          <w:tcPr>
            <w:tcW w:w="3096" w:type="dxa"/>
            <w:tcMar>
              <w:top w:w="80" w:type="dxa"/>
              <w:left w:w="100" w:type="dxa"/>
              <w:bottom w:w="80" w:type="dxa"/>
              <w:right w:w="100" w:type="dxa"/>
            </w:tcMar>
            <w:vAlign w:val="center"/>
          </w:tcPr>
          <w:p w:rsidR="00FD67E1" w:rsidRDefault="00EE0B9A">
            <w:pPr>
              <w:spacing w:after="0"/>
            </w:pPr>
            <w:r>
              <w:rPr>
                <w:sz w:val="16"/>
              </w:rPr>
              <w:t>Escalate if information is unavailable or may create a commitment.</w:t>
            </w:r>
          </w:p>
        </w:tc>
      </w:tr>
      <w:tr w:rsidR="00FD67E1">
        <w:trPr>
          <w:cantSplit/>
          <w:jc w:val="center"/>
        </w:trPr>
        <w:tc>
          <w:tcPr>
            <w:tcW w:w="1944" w:type="dxa"/>
            <w:shd w:val="clear" w:color="auto" w:fill="F4F7F8"/>
            <w:tcMar>
              <w:top w:w="80" w:type="dxa"/>
              <w:left w:w="100" w:type="dxa"/>
              <w:bottom w:w="80" w:type="dxa"/>
              <w:right w:w="100" w:type="dxa"/>
            </w:tcMar>
            <w:vAlign w:val="center"/>
          </w:tcPr>
          <w:p w:rsidR="00FD67E1" w:rsidRDefault="00EE0B9A">
            <w:pPr>
              <w:spacing w:after="0"/>
            </w:pPr>
            <w:r>
              <w:rPr>
                <w:sz w:val="16"/>
              </w:rPr>
              <w:t>Application or service status</w:t>
            </w:r>
          </w:p>
        </w:tc>
        <w:tc>
          <w:tcPr>
            <w:tcW w:w="4608" w:type="dxa"/>
            <w:shd w:val="clear" w:color="auto" w:fill="F4F7F8"/>
            <w:tcMar>
              <w:top w:w="80" w:type="dxa"/>
              <w:left w:w="100" w:type="dxa"/>
              <w:bottom w:w="80" w:type="dxa"/>
              <w:right w:w="100" w:type="dxa"/>
            </w:tcMar>
            <w:vAlign w:val="center"/>
          </w:tcPr>
          <w:p w:rsidR="00FD67E1" w:rsidRDefault="00EE0B9A">
            <w:pPr>
              <w:spacing w:after="0"/>
            </w:pPr>
            <w:r>
              <w:rPr>
                <w:sz w:val="16"/>
              </w:rPr>
              <w:t>Acknowledge and move personal details to an approved private channel.</w:t>
            </w:r>
          </w:p>
        </w:tc>
        <w:tc>
          <w:tcPr>
            <w:tcW w:w="3096" w:type="dxa"/>
            <w:shd w:val="clear" w:color="auto" w:fill="F4F7F8"/>
            <w:tcMar>
              <w:top w:w="80" w:type="dxa"/>
              <w:left w:w="100" w:type="dxa"/>
              <w:bottom w:w="80" w:type="dxa"/>
              <w:right w:w="100" w:type="dxa"/>
            </w:tcMar>
            <w:vAlign w:val="center"/>
          </w:tcPr>
          <w:p w:rsidR="00FD67E1" w:rsidRDefault="00EE0B9A">
            <w:pPr>
              <w:spacing w:after="0"/>
            </w:pPr>
            <w:r>
              <w:rPr>
                <w:sz w:val="16"/>
              </w:rPr>
              <w:t>Route to operational owner; never promise acceptance, investment or response outcome.</w:t>
            </w:r>
          </w:p>
        </w:tc>
      </w:tr>
      <w:tr w:rsidR="00FD67E1">
        <w:trPr>
          <w:cantSplit/>
          <w:jc w:val="center"/>
        </w:trPr>
        <w:tc>
          <w:tcPr>
            <w:tcW w:w="1944" w:type="dxa"/>
            <w:tcMar>
              <w:top w:w="80" w:type="dxa"/>
              <w:left w:w="100" w:type="dxa"/>
              <w:bottom w:w="80" w:type="dxa"/>
              <w:right w:w="100" w:type="dxa"/>
            </w:tcMar>
            <w:vAlign w:val="center"/>
          </w:tcPr>
          <w:p w:rsidR="00FD67E1" w:rsidRDefault="00EE0B9A">
            <w:pPr>
              <w:spacing w:after="0"/>
            </w:pPr>
            <w:r>
              <w:rPr>
                <w:sz w:val="16"/>
              </w:rPr>
              <w:t>Complaint</w:t>
            </w:r>
          </w:p>
        </w:tc>
        <w:tc>
          <w:tcPr>
            <w:tcW w:w="4608" w:type="dxa"/>
            <w:tcMar>
              <w:top w:w="80" w:type="dxa"/>
              <w:left w:w="100" w:type="dxa"/>
              <w:bottom w:w="80" w:type="dxa"/>
              <w:right w:w="100" w:type="dxa"/>
            </w:tcMar>
            <w:vAlign w:val="center"/>
          </w:tcPr>
          <w:p w:rsidR="00FD67E1" w:rsidRDefault="00EE0B9A">
            <w:pPr>
              <w:spacing w:after="0"/>
            </w:pPr>
            <w:r>
              <w:rPr>
                <w:sz w:val="16"/>
              </w:rPr>
              <w:t>Acknowledge specifically, record facts, avoid blame and provide an approved next step.</w:t>
            </w:r>
          </w:p>
        </w:tc>
        <w:tc>
          <w:tcPr>
            <w:tcW w:w="3096" w:type="dxa"/>
            <w:tcMar>
              <w:top w:w="80" w:type="dxa"/>
              <w:left w:w="100" w:type="dxa"/>
              <w:bottom w:w="80" w:type="dxa"/>
              <w:right w:w="100" w:type="dxa"/>
            </w:tcMar>
            <w:vAlign w:val="center"/>
          </w:tcPr>
          <w:p w:rsidR="00FD67E1" w:rsidRDefault="00EE0B9A">
            <w:pPr>
              <w:spacing w:after="0"/>
            </w:pPr>
            <w:r>
              <w:rPr>
                <w:sz w:val="16"/>
              </w:rPr>
              <w:t>Elevate repeated, sensitive or unresolved complaints.</w:t>
            </w:r>
          </w:p>
        </w:tc>
      </w:tr>
      <w:tr w:rsidR="00FD67E1">
        <w:trPr>
          <w:cantSplit/>
          <w:jc w:val="center"/>
        </w:trPr>
        <w:tc>
          <w:tcPr>
            <w:tcW w:w="1944" w:type="dxa"/>
            <w:shd w:val="clear" w:color="auto" w:fill="F4F7F8"/>
            <w:tcMar>
              <w:top w:w="80" w:type="dxa"/>
              <w:left w:w="100" w:type="dxa"/>
              <w:bottom w:w="80" w:type="dxa"/>
              <w:right w:w="100" w:type="dxa"/>
            </w:tcMar>
            <w:vAlign w:val="center"/>
          </w:tcPr>
          <w:p w:rsidR="00FD67E1" w:rsidRDefault="00EE0B9A">
            <w:pPr>
              <w:spacing w:after="0"/>
            </w:pPr>
            <w:r>
              <w:rPr>
                <w:sz w:val="16"/>
              </w:rPr>
              <w:t>Investment question</w:t>
            </w:r>
          </w:p>
        </w:tc>
        <w:tc>
          <w:tcPr>
            <w:tcW w:w="4608" w:type="dxa"/>
            <w:shd w:val="clear" w:color="auto" w:fill="F4F7F8"/>
            <w:tcMar>
              <w:top w:w="80" w:type="dxa"/>
              <w:left w:w="100" w:type="dxa"/>
              <w:bottom w:w="80" w:type="dxa"/>
              <w:right w:w="100" w:type="dxa"/>
            </w:tcMar>
            <w:vAlign w:val="center"/>
          </w:tcPr>
          <w:p w:rsidR="00FD67E1" w:rsidRDefault="00EE0B9A">
            <w:pPr>
              <w:spacing w:after="0"/>
            </w:pPr>
            <w:r>
              <w:rPr>
                <w:sz w:val="16"/>
              </w:rPr>
              <w:t>Provide only approved public information and disclaimers.</w:t>
            </w:r>
          </w:p>
        </w:tc>
        <w:tc>
          <w:tcPr>
            <w:tcW w:w="3096" w:type="dxa"/>
            <w:shd w:val="clear" w:color="auto" w:fill="F4F7F8"/>
            <w:tcMar>
              <w:top w:w="80" w:type="dxa"/>
              <w:left w:w="100" w:type="dxa"/>
              <w:bottom w:w="80" w:type="dxa"/>
              <w:right w:w="100" w:type="dxa"/>
            </w:tcMar>
            <w:vAlign w:val="center"/>
          </w:tcPr>
          <w:p w:rsidR="00FD67E1" w:rsidRDefault="00EE0B9A">
            <w:pPr>
              <w:spacing w:after="0"/>
            </w:pPr>
            <w:r>
              <w:rPr>
                <w:sz w:val="16"/>
              </w:rPr>
              <w:t>Route to authorised Tharaa Capital contact; never give advice or discuss confidential opportunities.</w:t>
            </w:r>
          </w:p>
        </w:tc>
      </w:tr>
      <w:tr w:rsidR="00FD67E1">
        <w:trPr>
          <w:cantSplit/>
          <w:jc w:val="center"/>
        </w:trPr>
        <w:tc>
          <w:tcPr>
            <w:tcW w:w="1944" w:type="dxa"/>
            <w:tcMar>
              <w:top w:w="80" w:type="dxa"/>
              <w:left w:w="100" w:type="dxa"/>
              <w:bottom w:w="80" w:type="dxa"/>
              <w:right w:w="100" w:type="dxa"/>
            </w:tcMar>
            <w:vAlign w:val="center"/>
          </w:tcPr>
          <w:p w:rsidR="00FD67E1" w:rsidRDefault="00EE0B9A">
            <w:pPr>
              <w:spacing w:after="0"/>
            </w:pPr>
            <w:r>
              <w:rPr>
                <w:sz w:val="16"/>
              </w:rPr>
              <w:t>Abuse, discrimination or threat</w:t>
            </w:r>
          </w:p>
        </w:tc>
        <w:tc>
          <w:tcPr>
            <w:tcW w:w="4608" w:type="dxa"/>
            <w:tcMar>
              <w:top w:w="80" w:type="dxa"/>
              <w:left w:w="100" w:type="dxa"/>
              <w:bottom w:w="80" w:type="dxa"/>
              <w:right w:w="100" w:type="dxa"/>
            </w:tcMar>
            <w:vAlign w:val="center"/>
          </w:tcPr>
          <w:p w:rsidR="00FD67E1" w:rsidRDefault="00EE0B9A">
            <w:pPr>
              <w:spacing w:after="0"/>
            </w:pPr>
            <w:r>
              <w:rPr>
                <w:sz w:val="16"/>
              </w:rPr>
              <w:t>Capture evidence and apply moderation policy.</w:t>
            </w:r>
          </w:p>
        </w:tc>
        <w:tc>
          <w:tcPr>
            <w:tcW w:w="3096" w:type="dxa"/>
            <w:tcMar>
              <w:top w:w="80" w:type="dxa"/>
              <w:left w:w="100" w:type="dxa"/>
              <w:bottom w:w="80" w:type="dxa"/>
              <w:right w:w="100" w:type="dxa"/>
            </w:tcMar>
            <w:vAlign w:val="center"/>
          </w:tcPr>
          <w:p w:rsidR="00FD67E1" w:rsidRDefault="00EE0B9A">
            <w:pPr>
              <w:spacing w:after="0"/>
            </w:pPr>
            <w:r>
              <w:rPr>
                <w:sz w:val="16"/>
              </w:rPr>
              <w:t>Immediate escalation for threat, hate, safety or legal concern.</w:t>
            </w:r>
          </w:p>
        </w:tc>
      </w:tr>
      <w:tr w:rsidR="00FD67E1">
        <w:trPr>
          <w:cantSplit/>
          <w:jc w:val="center"/>
        </w:trPr>
        <w:tc>
          <w:tcPr>
            <w:tcW w:w="1944" w:type="dxa"/>
            <w:shd w:val="clear" w:color="auto" w:fill="F4F7F8"/>
            <w:tcMar>
              <w:top w:w="80" w:type="dxa"/>
              <w:left w:w="100" w:type="dxa"/>
              <w:bottom w:w="80" w:type="dxa"/>
              <w:right w:w="100" w:type="dxa"/>
            </w:tcMar>
            <w:vAlign w:val="center"/>
          </w:tcPr>
          <w:p w:rsidR="00FD67E1" w:rsidRDefault="00EE0B9A">
            <w:pPr>
              <w:spacing w:after="0"/>
            </w:pPr>
            <w:r>
              <w:rPr>
                <w:sz w:val="16"/>
              </w:rPr>
              <w:t>Misinformation or impersonation</w:t>
            </w:r>
          </w:p>
        </w:tc>
        <w:tc>
          <w:tcPr>
            <w:tcW w:w="4608" w:type="dxa"/>
            <w:shd w:val="clear" w:color="auto" w:fill="F4F7F8"/>
            <w:tcMar>
              <w:top w:w="80" w:type="dxa"/>
              <w:left w:w="100" w:type="dxa"/>
              <w:bottom w:w="80" w:type="dxa"/>
              <w:right w:w="100" w:type="dxa"/>
            </w:tcMar>
            <w:vAlign w:val="center"/>
          </w:tcPr>
          <w:p w:rsidR="00FD67E1" w:rsidRDefault="00EE0B9A">
            <w:pPr>
              <w:spacing w:after="0"/>
            </w:pPr>
            <w:r>
              <w:rPr>
                <w:sz w:val="16"/>
              </w:rPr>
              <w:t>Preserve evidence and assess reach and risk.</w:t>
            </w:r>
          </w:p>
        </w:tc>
        <w:tc>
          <w:tcPr>
            <w:tcW w:w="3096" w:type="dxa"/>
            <w:shd w:val="clear" w:color="auto" w:fill="F4F7F8"/>
            <w:tcMar>
              <w:top w:w="80" w:type="dxa"/>
              <w:left w:w="100" w:type="dxa"/>
              <w:bottom w:w="80" w:type="dxa"/>
              <w:right w:w="100" w:type="dxa"/>
            </w:tcMar>
            <w:vAlign w:val="center"/>
          </w:tcPr>
          <w:p w:rsidR="00FD67E1" w:rsidRDefault="00EE0B9A">
            <w:pPr>
              <w:spacing w:after="0"/>
            </w:pPr>
            <w:r>
              <w:rPr>
                <w:sz w:val="16"/>
              </w:rPr>
              <w:t>Escalate immediately; coordinate correction, platform report and stakeholder response.</w:t>
            </w:r>
          </w:p>
        </w:tc>
      </w:tr>
    </w:tbl>
    <w:p w:rsidR="00FD67E1" w:rsidRDefault="00FD67E1">
      <w:pPr>
        <w:spacing w:after="0"/>
      </w:pPr>
    </w:p>
    <w:p w:rsidR="00FD67E1" w:rsidRDefault="00EE0B9A">
      <w:pPr>
        <w:pStyle w:val="Heading2"/>
      </w:pPr>
      <w:r>
        <w:t>D6 Service-level assumptions bidders must state</w:t>
      </w:r>
    </w:p>
    <w:p w:rsidR="00FD67E1" w:rsidRDefault="00EE0B9A">
      <w:pPr>
        <w:pStyle w:val="CompactBullet"/>
      </w:pPr>
      <w:r>
        <w:t>Service hours and language coverage.</w:t>
      </w:r>
    </w:p>
    <w:p w:rsidR="00FD67E1" w:rsidRDefault="00EE0B9A">
      <w:pPr>
        <w:pStyle w:val="CompactBullet"/>
      </w:pPr>
      <w:r>
        <w:t>Target first-response times for public comments, private messages, complaints and urgent issues.</w:t>
      </w:r>
    </w:p>
    <w:p w:rsidR="00FD67E1" w:rsidRDefault="00EE0B9A">
      <w:pPr>
        <w:pStyle w:val="CompactBullet"/>
      </w:pPr>
      <w:r>
        <w:t>Monthly content and production capacity by format and entity.</w:t>
      </w:r>
    </w:p>
    <w:p w:rsidR="00FD67E1" w:rsidRDefault="00EE0B9A">
      <w:pPr>
        <w:pStyle w:val="CompactBullet"/>
      </w:pPr>
      <w:r>
        <w:t>Number and duration of production days, edit rounds, event-coverage hours and travel assumptions.</w:t>
      </w:r>
    </w:p>
    <w:p w:rsidR="00FD67E1" w:rsidRDefault="00EE0B9A">
      <w:pPr>
        <w:pStyle w:val="CompactBullet"/>
      </w:pPr>
      <w:r>
        <w:t>Weekend, public-holiday and after-hours arrangements.</w:t>
      </w:r>
    </w:p>
    <w:p w:rsidR="00FD67E1" w:rsidRDefault="00EE0B9A">
      <w:pPr>
        <w:pStyle w:val="CompactBullet"/>
      </w:pPr>
      <w:r>
        <w:t>Named approval cut-off times and the effect of delayed client approvals.</w:t>
      </w:r>
    </w:p>
    <w:p w:rsidR="00FD67E1" w:rsidRDefault="00EE0B9A">
      <w:pPr>
        <w:pStyle w:val="CompactBullet"/>
      </w:pPr>
      <w:r>
        <w:t>Paid-media management fee basis, minimum spend, optimisation frequency and reporting access.</w:t>
      </w:r>
    </w:p>
    <w:p w:rsidR="00FD67E1" w:rsidRDefault="00EE0B9A">
      <w:pPr>
        <w:pStyle w:val="CompactBullet"/>
      </w:pPr>
      <w:r>
        <w:t>Archiving, raw-footage retention and handover frequency.</w:t>
      </w:r>
    </w:p>
    <w:p w:rsidR="00FD67E1" w:rsidRDefault="00EE0B9A">
      <w:r>
        <w:br w:type="page"/>
      </w:r>
    </w:p>
    <w:p w:rsidR="00FD67E1" w:rsidRDefault="00EE0B9A">
      <w:pPr>
        <w:pStyle w:val="Heading1"/>
      </w:pPr>
      <w:r>
        <w:lastRenderedPageBreak/>
        <w:t>Schedule E Measurement Reporting and Data Governance</w:t>
      </w:r>
    </w:p>
    <w:p w:rsidR="00FD67E1" w:rsidRDefault="00EE0B9A">
      <w:pPr>
        <w:pStyle w:val="Heading2"/>
      </w:pPr>
      <w:r>
        <w:t>E1 Measurement principle</w:t>
      </w:r>
    </w:p>
    <w:p w:rsidR="00FD67E1" w:rsidRDefault="00EE0B9A">
      <w:r>
        <w:t>Measurement must connect communications activity to audience behaviour and, where operational data permits, to business outcomes. Reach and impressions are diagnostic measures, not proof of economic impact. Reports must distinguish output, response, conversion and verified outcome, and must disclose attribution limits.</w:t>
      </w:r>
    </w:p>
    <w:tbl>
      <w:tblPr>
        <w:tblStyle w:val="TableGrid"/>
        <w:tblW w:w="0" w:type="auto"/>
        <w:jc w:val="center"/>
        <w:tblLook w:val="04A0" w:firstRow="1" w:lastRow="0" w:firstColumn="1" w:lastColumn="0" w:noHBand="0" w:noVBand="1"/>
      </w:tblPr>
      <w:tblGrid>
        <w:gridCol w:w="1296"/>
        <w:gridCol w:w="3384"/>
        <w:gridCol w:w="4968"/>
      </w:tblGrid>
      <w:tr w:rsidR="00FD67E1">
        <w:trPr>
          <w:cantSplit/>
          <w:tblHeader/>
          <w:jc w:val="center"/>
        </w:trPr>
        <w:tc>
          <w:tcPr>
            <w:tcW w:w="1296" w:type="dxa"/>
            <w:shd w:val="clear" w:color="auto" w:fill="13283F"/>
            <w:tcMar>
              <w:top w:w="80" w:type="dxa"/>
              <w:left w:w="100" w:type="dxa"/>
              <w:bottom w:w="80" w:type="dxa"/>
              <w:right w:w="100" w:type="dxa"/>
            </w:tcMar>
          </w:tcPr>
          <w:p w:rsidR="00FD67E1" w:rsidRDefault="00EE0B9A">
            <w:r>
              <w:rPr>
                <w:b/>
                <w:color w:val="FFFFFF"/>
                <w:sz w:val="16"/>
              </w:rPr>
              <w:t>Level</w:t>
            </w:r>
          </w:p>
        </w:tc>
        <w:tc>
          <w:tcPr>
            <w:tcW w:w="3384" w:type="dxa"/>
            <w:shd w:val="clear" w:color="auto" w:fill="13283F"/>
            <w:tcMar>
              <w:top w:w="80" w:type="dxa"/>
              <w:left w:w="100" w:type="dxa"/>
              <w:bottom w:w="80" w:type="dxa"/>
              <w:right w:w="100" w:type="dxa"/>
            </w:tcMar>
          </w:tcPr>
          <w:p w:rsidR="00FD67E1" w:rsidRDefault="00EE0B9A">
            <w:r>
              <w:rPr>
                <w:b/>
                <w:color w:val="FFFFFF"/>
                <w:sz w:val="16"/>
              </w:rPr>
              <w:t>Question answered</w:t>
            </w:r>
          </w:p>
        </w:tc>
        <w:tc>
          <w:tcPr>
            <w:tcW w:w="4968" w:type="dxa"/>
            <w:shd w:val="clear" w:color="auto" w:fill="13283F"/>
            <w:tcMar>
              <w:top w:w="80" w:type="dxa"/>
              <w:left w:w="100" w:type="dxa"/>
              <w:bottom w:w="80" w:type="dxa"/>
              <w:right w:w="100" w:type="dxa"/>
            </w:tcMar>
          </w:tcPr>
          <w:p w:rsidR="00FD67E1" w:rsidRDefault="00EE0B9A">
            <w:r>
              <w:rPr>
                <w:b/>
                <w:color w:val="FFFFFF"/>
                <w:sz w:val="16"/>
              </w:rPr>
              <w:t>Illustrative measures</w:t>
            </w:r>
          </w:p>
        </w:tc>
      </w:tr>
      <w:tr w:rsidR="00FD67E1">
        <w:trPr>
          <w:cantSplit/>
          <w:jc w:val="center"/>
        </w:trPr>
        <w:tc>
          <w:tcPr>
            <w:tcW w:w="1296" w:type="dxa"/>
            <w:tcMar>
              <w:top w:w="80" w:type="dxa"/>
              <w:left w:w="100" w:type="dxa"/>
              <w:bottom w:w="80" w:type="dxa"/>
              <w:right w:w="100" w:type="dxa"/>
            </w:tcMar>
            <w:vAlign w:val="center"/>
          </w:tcPr>
          <w:p w:rsidR="00FD67E1" w:rsidRDefault="00EE0B9A">
            <w:pPr>
              <w:spacing w:after="0"/>
            </w:pPr>
            <w:r>
              <w:rPr>
                <w:sz w:val="16"/>
              </w:rPr>
              <w:t>Output</w:t>
            </w:r>
          </w:p>
        </w:tc>
        <w:tc>
          <w:tcPr>
            <w:tcW w:w="3384" w:type="dxa"/>
            <w:tcMar>
              <w:top w:w="80" w:type="dxa"/>
              <w:left w:w="100" w:type="dxa"/>
              <w:bottom w:w="80" w:type="dxa"/>
              <w:right w:w="100" w:type="dxa"/>
            </w:tcMar>
            <w:vAlign w:val="center"/>
          </w:tcPr>
          <w:p w:rsidR="00FD67E1" w:rsidRDefault="00EE0B9A">
            <w:pPr>
              <w:spacing w:after="0"/>
            </w:pPr>
            <w:r>
              <w:rPr>
                <w:sz w:val="16"/>
              </w:rPr>
              <w:t>What was produced and distributed?</w:t>
            </w:r>
          </w:p>
        </w:tc>
        <w:tc>
          <w:tcPr>
            <w:tcW w:w="4968" w:type="dxa"/>
            <w:tcMar>
              <w:top w:w="80" w:type="dxa"/>
              <w:left w:w="100" w:type="dxa"/>
              <w:bottom w:w="80" w:type="dxa"/>
              <w:right w:w="100" w:type="dxa"/>
            </w:tcMar>
            <w:vAlign w:val="center"/>
          </w:tcPr>
          <w:p w:rsidR="00FD67E1" w:rsidRDefault="00EE0B9A">
            <w:pPr>
              <w:spacing w:after="0"/>
            </w:pPr>
            <w:r>
              <w:rPr>
                <w:sz w:val="16"/>
              </w:rPr>
              <w:t>Approved content, releases, campaigns, events, production volume and delivery timeliness.</w:t>
            </w:r>
          </w:p>
        </w:tc>
      </w:tr>
      <w:tr w:rsidR="00FD67E1">
        <w:trPr>
          <w:cantSplit/>
          <w:jc w:val="center"/>
        </w:trPr>
        <w:tc>
          <w:tcPr>
            <w:tcW w:w="1296" w:type="dxa"/>
            <w:shd w:val="clear" w:color="auto" w:fill="F4F7F8"/>
            <w:tcMar>
              <w:top w:w="80" w:type="dxa"/>
              <w:left w:w="100" w:type="dxa"/>
              <w:bottom w:w="80" w:type="dxa"/>
              <w:right w:w="100" w:type="dxa"/>
            </w:tcMar>
            <w:vAlign w:val="center"/>
          </w:tcPr>
          <w:p w:rsidR="00FD67E1" w:rsidRDefault="00EE0B9A">
            <w:pPr>
              <w:spacing w:after="0"/>
            </w:pPr>
            <w:r>
              <w:rPr>
                <w:sz w:val="16"/>
              </w:rPr>
              <w:t>Reach</w:t>
            </w:r>
          </w:p>
        </w:tc>
        <w:tc>
          <w:tcPr>
            <w:tcW w:w="3384" w:type="dxa"/>
            <w:shd w:val="clear" w:color="auto" w:fill="F4F7F8"/>
            <w:tcMar>
              <w:top w:w="80" w:type="dxa"/>
              <w:left w:w="100" w:type="dxa"/>
              <w:bottom w:w="80" w:type="dxa"/>
              <w:right w:w="100" w:type="dxa"/>
            </w:tcMar>
            <w:vAlign w:val="center"/>
          </w:tcPr>
          <w:p w:rsidR="00FD67E1" w:rsidRDefault="00EE0B9A">
            <w:pPr>
              <w:spacing w:after="0"/>
            </w:pPr>
            <w:r>
              <w:rPr>
                <w:sz w:val="16"/>
              </w:rPr>
              <w:t>Who had the opportunity to see it?</w:t>
            </w:r>
          </w:p>
        </w:tc>
        <w:tc>
          <w:tcPr>
            <w:tcW w:w="4968" w:type="dxa"/>
            <w:shd w:val="clear" w:color="auto" w:fill="F4F7F8"/>
            <w:tcMar>
              <w:top w:w="80" w:type="dxa"/>
              <w:left w:w="100" w:type="dxa"/>
              <w:bottom w:w="80" w:type="dxa"/>
              <w:right w:w="100" w:type="dxa"/>
            </w:tcMar>
            <w:vAlign w:val="center"/>
          </w:tcPr>
          <w:p w:rsidR="00FD67E1" w:rsidRDefault="00EE0B9A">
            <w:pPr>
              <w:spacing w:after="0"/>
            </w:pPr>
            <w:r>
              <w:rPr>
                <w:sz w:val="16"/>
              </w:rPr>
              <w:t>Qualified reach, relevant media audience, video views, website users and frequency.</w:t>
            </w:r>
          </w:p>
        </w:tc>
      </w:tr>
      <w:tr w:rsidR="00FD67E1">
        <w:trPr>
          <w:cantSplit/>
          <w:jc w:val="center"/>
        </w:trPr>
        <w:tc>
          <w:tcPr>
            <w:tcW w:w="1296" w:type="dxa"/>
            <w:tcMar>
              <w:top w:w="80" w:type="dxa"/>
              <w:left w:w="100" w:type="dxa"/>
              <w:bottom w:w="80" w:type="dxa"/>
              <w:right w:w="100" w:type="dxa"/>
            </w:tcMar>
            <w:vAlign w:val="center"/>
          </w:tcPr>
          <w:p w:rsidR="00FD67E1" w:rsidRDefault="00EE0B9A">
            <w:pPr>
              <w:spacing w:after="0"/>
            </w:pPr>
            <w:r>
              <w:rPr>
                <w:sz w:val="16"/>
              </w:rPr>
              <w:t>Engagement</w:t>
            </w:r>
          </w:p>
        </w:tc>
        <w:tc>
          <w:tcPr>
            <w:tcW w:w="3384" w:type="dxa"/>
            <w:tcMar>
              <w:top w:w="80" w:type="dxa"/>
              <w:left w:w="100" w:type="dxa"/>
              <w:bottom w:w="80" w:type="dxa"/>
              <w:right w:w="100" w:type="dxa"/>
            </w:tcMar>
            <w:vAlign w:val="center"/>
          </w:tcPr>
          <w:p w:rsidR="00FD67E1" w:rsidRDefault="00EE0B9A">
            <w:pPr>
              <w:spacing w:after="0"/>
            </w:pPr>
            <w:r>
              <w:rPr>
                <w:sz w:val="16"/>
              </w:rPr>
              <w:t>Did the right audience respond meaningfully?</w:t>
            </w:r>
          </w:p>
        </w:tc>
        <w:tc>
          <w:tcPr>
            <w:tcW w:w="4968" w:type="dxa"/>
            <w:tcMar>
              <w:top w:w="80" w:type="dxa"/>
              <w:left w:w="100" w:type="dxa"/>
              <w:bottom w:w="80" w:type="dxa"/>
              <w:right w:w="100" w:type="dxa"/>
            </w:tcMar>
            <w:vAlign w:val="center"/>
          </w:tcPr>
          <w:p w:rsidR="00FD67E1" w:rsidRDefault="00EE0B9A">
            <w:pPr>
              <w:spacing w:after="0"/>
            </w:pPr>
            <w:r>
              <w:rPr>
                <w:sz w:val="16"/>
              </w:rPr>
              <w:t>Saves, shares, quality comments, completion, document downloads, media enquiries and event interest.</w:t>
            </w:r>
          </w:p>
        </w:tc>
      </w:tr>
      <w:tr w:rsidR="00FD67E1">
        <w:trPr>
          <w:cantSplit/>
          <w:jc w:val="center"/>
        </w:trPr>
        <w:tc>
          <w:tcPr>
            <w:tcW w:w="1296" w:type="dxa"/>
            <w:shd w:val="clear" w:color="auto" w:fill="F4F7F8"/>
            <w:tcMar>
              <w:top w:w="80" w:type="dxa"/>
              <w:left w:w="100" w:type="dxa"/>
              <w:bottom w:w="80" w:type="dxa"/>
              <w:right w:w="100" w:type="dxa"/>
            </w:tcMar>
            <w:vAlign w:val="center"/>
          </w:tcPr>
          <w:p w:rsidR="00FD67E1" w:rsidRDefault="00EE0B9A">
            <w:pPr>
              <w:spacing w:after="0"/>
            </w:pPr>
            <w:r>
              <w:rPr>
                <w:sz w:val="16"/>
              </w:rPr>
              <w:t>Conversion</w:t>
            </w:r>
          </w:p>
        </w:tc>
        <w:tc>
          <w:tcPr>
            <w:tcW w:w="3384" w:type="dxa"/>
            <w:shd w:val="clear" w:color="auto" w:fill="F4F7F8"/>
            <w:tcMar>
              <w:top w:w="80" w:type="dxa"/>
              <w:left w:w="100" w:type="dxa"/>
              <w:bottom w:w="80" w:type="dxa"/>
              <w:right w:w="100" w:type="dxa"/>
            </w:tcMar>
            <w:vAlign w:val="center"/>
          </w:tcPr>
          <w:p w:rsidR="00FD67E1" w:rsidRDefault="00EE0B9A">
            <w:pPr>
              <w:spacing w:after="0"/>
            </w:pPr>
            <w:r>
              <w:rPr>
                <w:sz w:val="16"/>
              </w:rPr>
              <w:t>Did the audience take the intended action?</w:t>
            </w:r>
          </w:p>
        </w:tc>
        <w:tc>
          <w:tcPr>
            <w:tcW w:w="4968" w:type="dxa"/>
            <w:shd w:val="clear" w:color="auto" w:fill="F4F7F8"/>
            <w:tcMar>
              <w:top w:w="80" w:type="dxa"/>
              <w:left w:w="100" w:type="dxa"/>
              <w:bottom w:w="80" w:type="dxa"/>
              <w:right w:w="100" w:type="dxa"/>
            </w:tcMar>
            <w:vAlign w:val="center"/>
          </w:tcPr>
          <w:p w:rsidR="00FD67E1" w:rsidRDefault="00EE0B9A">
            <w:pPr>
              <w:spacing w:after="0"/>
            </w:pPr>
            <w:r>
              <w:rPr>
                <w:sz w:val="16"/>
              </w:rPr>
              <w:t>Applications, qualified leads, registrations, service enquiries, partner or investor contacts and conversion rate.</w:t>
            </w:r>
          </w:p>
        </w:tc>
      </w:tr>
      <w:tr w:rsidR="00FD67E1">
        <w:trPr>
          <w:cantSplit/>
          <w:jc w:val="center"/>
        </w:trPr>
        <w:tc>
          <w:tcPr>
            <w:tcW w:w="1296" w:type="dxa"/>
            <w:tcMar>
              <w:top w:w="80" w:type="dxa"/>
              <w:left w:w="100" w:type="dxa"/>
              <w:bottom w:w="80" w:type="dxa"/>
              <w:right w:w="100" w:type="dxa"/>
            </w:tcMar>
            <w:vAlign w:val="center"/>
          </w:tcPr>
          <w:p w:rsidR="00FD67E1" w:rsidRDefault="00EE0B9A">
            <w:pPr>
              <w:spacing w:after="0"/>
            </w:pPr>
            <w:r>
              <w:rPr>
                <w:sz w:val="16"/>
              </w:rPr>
              <w:t>Outcome</w:t>
            </w:r>
          </w:p>
        </w:tc>
        <w:tc>
          <w:tcPr>
            <w:tcW w:w="3384" w:type="dxa"/>
            <w:tcMar>
              <w:top w:w="80" w:type="dxa"/>
              <w:left w:w="100" w:type="dxa"/>
              <w:bottom w:w="80" w:type="dxa"/>
              <w:right w:w="100" w:type="dxa"/>
            </w:tcMar>
            <w:vAlign w:val="center"/>
          </w:tcPr>
          <w:p w:rsidR="00FD67E1" w:rsidRDefault="00EE0B9A">
            <w:pPr>
              <w:spacing w:after="0"/>
            </w:pPr>
            <w:r>
              <w:rPr>
                <w:sz w:val="16"/>
              </w:rPr>
              <w:t>Did the activity contribute to Tharaa’s mission?</w:t>
            </w:r>
          </w:p>
        </w:tc>
        <w:tc>
          <w:tcPr>
            <w:tcW w:w="4968" w:type="dxa"/>
            <w:tcMar>
              <w:top w:w="80" w:type="dxa"/>
              <w:left w:w="100" w:type="dxa"/>
              <w:bottom w:w="80" w:type="dxa"/>
              <w:right w:w="100" w:type="dxa"/>
            </w:tcMar>
            <w:vAlign w:val="center"/>
          </w:tcPr>
          <w:p w:rsidR="00FD67E1" w:rsidRDefault="00EE0B9A">
            <w:pPr>
              <w:spacing w:after="0"/>
            </w:pPr>
            <w:r>
              <w:rPr>
                <w:sz w:val="16"/>
              </w:rPr>
              <w:t>Verified ventures supported, jobs, revenue growth, capital facilitated, partnerships, market entry, survival and inclusion outcomes.</w:t>
            </w:r>
          </w:p>
        </w:tc>
      </w:tr>
      <w:tr w:rsidR="00FD67E1">
        <w:trPr>
          <w:cantSplit/>
          <w:jc w:val="center"/>
        </w:trPr>
        <w:tc>
          <w:tcPr>
            <w:tcW w:w="1296" w:type="dxa"/>
            <w:shd w:val="clear" w:color="auto" w:fill="F4F7F8"/>
            <w:tcMar>
              <w:top w:w="80" w:type="dxa"/>
              <w:left w:w="100" w:type="dxa"/>
              <w:bottom w:w="80" w:type="dxa"/>
              <w:right w:w="100" w:type="dxa"/>
            </w:tcMar>
            <w:vAlign w:val="center"/>
          </w:tcPr>
          <w:p w:rsidR="00FD67E1" w:rsidRDefault="00EE0B9A">
            <w:pPr>
              <w:spacing w:after="0"/>
            </w:pPr>
            <w:r>
              <w:rPr>
                <w:sz w:val="16"/>
              </w:rPr>
              <w:t>Trust and risk</w:t>
            </w:r>
          </w:p>
        </w:tc>
        <w:tc>
          <w:tcPr>
            <w:tcW w:w="3384" w:type="dxa"/>
            <w:shd w:val="clear" w:color="auto" w:fill="F4F7F8"/>
            <w:tcMar>
              <w:top w:w="80" w:type="dxa"/>
              <w:left w:w="100" w:type="dxa"/>
              <w:bottom w:w="80" w:type="dxa"/>
              <w:right w:w="100" w:type="dxa"/>
            </w:tcMar>
            <w:vAlign w:val="center"/>
          </w:tcPr>
          <w:p w:rsidR="00FD67E1" w:rsidRDefault="00EE0B9A">
            <w:pPr>
              <w:spacing w:after="0"/>
            </w:pPr>
            <w:r>
              <w:rPr>
                <w:sz w:val="16"/>
              </w:rPr>
              <w:t>Did reputation strengthen and remain protected?</w:t>
            </w:r>
          </w:p>
        </w:tc>
        <w:tc>
          <w:tcPr>
            <w:tcW w:w="4968" w:type="dxa"/>
            <w:shd w:val="clear" w:color="auto" w:fill="F4F7F8"/>
            <w:tcMar>
              <w:top w:w="80" w:type="dxa"/>
              <w:left w:w="100" w:type="dxa"/>
              <w:bottom w:w="80" w:type="dxa"/>
              <w:right w:w="100" w:type="dxa"/>
            </w:tcMar>
            <w:vAlign w:val="center"/>
          </w:tcPr>
          <w:p w:rsidR="00FD67E1" w:rsidRDefault="00EE0B9A">
            <w:pPr>
              <w:spacing w:after="0"/>
            </w:pPr>
            <w:r>
              <w:rPr>
                <w:sz w:val="16"/>
              </w:rPr>
              <w:t>Message accuracy, quality coverage, stakeholder feedback, issue volume, response time and correction rate.</w:t>
            </w:r>
          </w:p>
        </w:tc>
      </w:tr>
    </w:tbl>
    <w:p w:rsidR="00FD67E1" w:rsidRDefault="00FD67E1">
      <w:pPr>
        <w:spacing w:after="0"/>
      </w:pPr>
    </w:p>
    <w:p w:rsidR="00FD67E1" w:rsidRDefault="00EE0B9A">
      <w:pPr>
        <w:pStyle w:val="Heading2"/>
      </w:pPr>
      <w:r>
        <w:t>E2 KPI dictionary requirements</w:t>
      </w:r>
    </w:p>
    <w:p w:rsidR="00FD67E1" w:rsidRDefault="00EE0B9A">
      <w:r>
        <w:t>For every KPI, the agency must document the definition, purpose, formula, data source, owner, collection frequency, reporting cut, segmentation, target status and limitations. Metrics may not be renamed between reports or combined across platforms without a reconciliation note.</w:t>
      </w:r>
    </w:p>
    <w:tbl>
      <w:tblPr>
        <w:tblStyle w:val="TableGrid"/>
        <w:tblW w:w="0" w:type="auto"/>
        <w:jc w:val="center"/>
        <w:tblLook w:val="04A0" w:firstRow="1" w:lastRow="0" w:firstColumn="1" w:lastColumn="0" w:noHBand="0" w:noVBand="1"/>
      </w:tblPr>
      <w:tblGrid>
        <w:gridCol w:w="2376"/>
        <w:gridCol w:w="7272"/>
      </w:tblGrid>
      <w:tr w:rsidR="00FD67E1">
        <w:trPr>
          <w:cantSplit/>
          <w:tblHeader/>
          <w:jc w:val="center"/>
        </w:trPr>
        <w:tc>
          <w:tcPr>
            <w:tcW w:w="2376" w:type="dxa"/>
            <w:shd w:val="clear" w:color="auto" w:fill="13283F"/>
            <w:tcMar>
              <w:top w:w="80" w:type="dxa"/>
              <w:left w:w="100" w:type="dxa"/>
              <w:bottom w:w="80" w:type="dxa"/>
              <w:right w:w="100" w:type="dxa"/>
            </w:tcMar>
          </w:tcPr>
          <w:p w:rsidR="00FD67E1" w:rsidRDefault="00EE0B9A">
            <w:r>
              <w:rPr>
                <w:b/>
                <w:color w:val="FFFFFF"/>
                <w:sz w:val="16"/>
              </w:rPr>
              <w:t>KPI</w:t>
            </w:r>
          </w:p>
        </w:tc>
        <w:tc>
          <w:tcPr>
            <w:tcW w:w="7272" w:type="dxa"/>
            <w:shd w:val="clear" w:color="auto" w:fill="13283F"/>
            <w:tcMar>
              <w:top w:w="80" w:type="dxa"/>
              <w:left w:w="100" w:type="dxa"/>
              <w:bottom w:w="80" w:type="dxa"/>
              <w:right w:w="100" w:type="dxa"/>
            </w:tcMar>
          </w:tcPr>
          <w:p w:rsidR="00FD67E1" w:rsidRDefault="00EE0B9A">
            <w:r>
              <w:rPr>
                <w:b/>
                <w:color w:val="FFFFFF"/>
                <w:sz w:val="16"/>
              </w:rPr>
              <w:t>Definition standard</w:t>
            </w:r>
          </w:p>
        </w:tc>
      </w:tr>
      <w:tr w:rsidR="00FD67E1">
        <w:trPr>
          <w:cantSplit/>
          <w:jc w:val="center"/>
        </w:trPr>
        <w:tc>
          <w:tcPr>
            <w:tcW w:w="2376" w:type="dxa"/>
            <w:tcMar>
              <w:top w:w="80" w:type="dxa"/>
              <w:left w:w="100" w:type="dxa"/>
              <w:bottom w:w="80" w:type="dxa"/>
              <w:right w:w="100" w:type="dxa"/>
            </w:tcMar>
            <w:vAlign w:val="center"/>
          </w:tcPr>
          <w:p w:rsidR="00FD67E1" w:rsidRDefault="00EE0B9A">
            <w:pPr>
              <w:spacing w:after="0"/>
            </w:pPr>
            <w:r>
              <w:rPr>
                <w:sz w:val="16"/>
              </w:rPr>
              <w:t>Qualified application</w:t>
            </w:r>
          </w:p>
        </w:tc>
        <w:tc>
          <w:tcPr>
            <w:tcW w:w="7272" w:type="dxa"/>
            <w:tcMar>
              <w:top w:w="80" w:type="dxa"/>
              <w:left w:w="100" w:type="dxa"/>
              <w:bottom w:w="80" w:type="dxa"/>
              <w:right w:w="100" w:type="dxa"/>
            </w:tcMar>
            <w:vAlign w:val="center"/>
          </w:tcPr>
          <w:p w:rsidR="00FD67E1" w:rsidRDefault="00EE0B9A">
            <w:pPr>
              <w:spacing w:after="0"/>
            </w:pPr>
            <w:r>
              <w:rPr>
                <w:sz w:val="16"/>
              </w:rPr>
              <w:t>A completed application meeting the minimum programme or service eligibility fields; duplicates and test submissions excluded.</w:t>
            </w:r>
          </w:p>
        </w:tc>
      </w:tr>
      <w:tr w:rsidR="00FD67E1">
        <w:trPr>
          <w:cantSplit/>
          <w:jc w:val="center"/>
        </w:trPr>
        <w:tc>
          <w:tcPr>
            <w:tcW w:w="2376" w:type="dxa"/>
            <w:shd w:val="clear" w:color="auto" w:fill="F4F7F8"/>
            <w:tcMar>
              <w:top w:w="80" w:type="dxa"/>
              <w:left w:w="100" w:type="dxa"/>
              <w:bottom w:w="80" w:type="dxa"/>
              <w:right w:w="100" w:type="dxa"/>
            </w:tcMar>
            <w:vAlign w:val="center"/>
          </w:tcPr>
          <w:p w:rsidR="00FD67E1" w:rsidRDefault="00EE0B9A">
            <w:pPr>
              <w:spacing w:after="0"/>
            </w:pPr>
            <w:r>
              <w:rPr>
                <w:sz w:val="16"/>
              </w:rPr>
              <w:t>Qualified enquiry</w:t>
            </w:r>
          </w:p>
        </w:tc>
        <w:tc>
          <w:tcPr>
            <w:tcW w:w="7272" w:type="dxa"/>
            <w:shd w:val="clear" w:color="auto" w:fill="F4F7F8"/>
            <w:tcMar>
              <w:top w:w="80" w:type="dxa"/>
              <w:left w:w="100" w:type="dxa"/>
              <w:bottom w:w="80" w:type="dxa"/>
              <w:right w:w="100" w:type="dxa"/>
            </w:tcMar>
            <w:vAlign w:val="center"/>
          </w:tcPr>
          <w:p w:rsidR="00FD67E1" w:rsidRDefault="00EE0B9A">
            <w:pPr>
              <w:spacing w:after="0"/>
            </w:pPr>
            <w:r>
              <w:rPr>
                <w:sz w:val="16"/>
              </w:rPr>
              <w:t>An enquiry containing valid contact details, relevant need and consent, routed to the responsible entity; spam and supplier solicitation excluded.</w:t>
            </w:r>
          </w:p>
        </w:tc>
      </w:tr>
      <w:tr w:rsidR="00FD67E1">
        <w:trPr>
          <w:cantSplit/>
          <w:jc w:val="center"/>
        </w:trPr>
        <w:tc>
          <w:tcPr>
            <w:tcW w:w="2376" w:type="dxa"/>
            <w:tcMar>
              <w:top w:w="80" w:type="dxa"/>
              <w:left w:w="100" w:type="dxa"/>
              <w:bottom w:w="80" w:type="dxa"/>
              <w:right w:w="100" w:type="dxa"/>
            </w:tcMar>
            <w:vAlign w:val="center"/>
          </w:tcPr>
          <w:p w:rsidR="00FD67E1" w:rsidRDefault="00EE0B9A">
            <w:pPr>
              <w:spacing w:after="0"/>
            </w:pPr>
            <w:r>
              <w:rPr>
                <w:sz w:val="16"/>
              </w:rPr>
              <w:t>Engagement rate</w:t>
            </w:r>
          </w:p>
        </w:tc>
        <w:tc>
          <w:tcPr>
            <w:tcW w:w="7272" w:type="dxa"/>
            <w:tcMar>
              <w:top w:w="80" w:type="dxa"/>
              <w:left w:w="100" w:type="dxa"/>
              <w:bottom w:w="80" w:type="dxa"/>
              <w:right w:w="100" w:type="dxa"/>
            </w:tcMar>
            <w:vAlign w:val="center"/>
          </w:tcPr>
          <w:p w:rsidR="00FD67E1" w:rsidRDefault="00EE0B9A">
            <w:pPr>
              <w:spacing w:after="0"/>
            </w:pPr>
            <w:r>
              <w:rPr>
                <w:sz w:val="16"/>
              </w:rPr>
              <w:t>State numerator and denominator explicitly; do not compare platform metrics built on different denominators without explanation.</w:t>
            </w:r>
          </w:p>
        </w:tc>
      </w:tr>
      <w:tr w:rsidR="00FD67E1">
        <w:trPr>
          <w:cantSplit/>
          <w:jc w:val="center"/>
        </w:trPr>
        <w:tc>
          <w:tcPr>
            <w:tcW w:w="2376" w:type="dxa"/>
            <w:shd w:val="clear" w:color="auto" w:fill="F4F7F8"/>
            <w:tcMar>
              <w:top w:w="80" w:type="dxa"/>
              <w:left w:w="100" w:type="dxa"/>
              <w:bottom w:w="80" w:type="dxa"/>
              <w:right w:w="100" w:type="dxa"/>
            </w:tcMar>
            <w:vAlign w:val="center"/>
          </w:tcPr>
          <w:p w:rsidR="00FD67E1" w:rsidRDefault="00EE0B9A">
            <w:pPr>
              <w:spacing w:after="0"/>
            </w:pPr>
            <w:r>
              <w:rPr>
                <w:sz w:val="16"/>
              </w:rPr>
              <w:t>Video completion</w:t>
            </w:r>
          </w:p>
        </w:tc>
        <w:tc>
          <w:tcPr>
            <w:tcW w:w="7272" w:type="dxa"/>
            <w:shd w:val="clear" w:color="auto" w:fill="F4F7F8"/>
            <w:tcMar>
              <w:top w:w="80" w:type="dxa"/>
              <w:left w:w="100" w:type="dxa"/>
              <w:bottom w:w="80" w:type="dxa"/>
              <w:right w:w="100" w:type="dxa"/>
            </w:tcMar>
            <w:vAlign w:val="center"/>
          </w:tcPr>
          <w:p w:rsidR="00FD67E1" w:rsidRDefault="00EE0B9A">
            <w:pPr>
              <w:spacing w:after="0"/>
            </w:pPr>
            <w:r>
              <w:rPr>
                <w:sz w:val="16"/>
              </w:rPr>
              <w:t>Report platform definition, video duration bands and both completion rate and qualified view volume.</w:t>
            </w:r>
          </w:p>
        </w:tc>
      </w:tr>
      <w:tr w:rsidR="00FD67E1">
        <w:trPr>
          <w:cantSplit/>
          <w:jc w:val="center"/>
        </w:trPr>
        <w:tc>
          <w:tcPr>
            <w:tcW w:w="2376" w:type="dxa"/>
            <w:tcMar>
              <w:top w:w="80" w:type="dxa"/>
              <w:left w:w="100" w:type="dxa"/>
              <w:bottom w:w="80" w:type="dxa"/>
              <w:right w:w="100" w:type="dxa"/>
            </w:tcMar>
            <w:vAlign w:val="center"/>
          </w:tcPr>
          <w:p w:rsidR="00FD67E1" w:rsidRDefault="00EE0B9A">
            <w:pPr>
              <w:spacing w:after="0"/>
            </w:pPr>
            <w:r>
              <w:rPr>
                <w:sz w:val="16"/>
              </w:rPr>
              <w:t>Media quality score</w:t>
            </w:r>
          </w:p>
        </w:tc>
        <w:tc>
          <w:tcPr>
            <w:tcW w:w="7272" w:type="dxa"/>
            <w:tcMar>
              <w:top w:w="80" w:type="dxa"/>
              <w:left w:w="100" w:type="dxa"/>
              <w:bottom w:w="80" w:type="dxa"/>
              <w:right w:w="100" w:type="dxa"/>
            </w:tcMar>
            <w:vAlign w:val="center"/>
          </w:tcPr>
          <w:p w:rsidR="00FD67E1" w:rsidRDefault="00EE0B9A">
            <w:pPr>
              <w:spacing w:after="0"/>
            </w:pPr>
            <w:r>
              <w:rPr>
                <w:sz w:val="16"/>
              </w:rPr>
              <w:t>Use transparent factors such as outlet relevance, prominence, message accuracy, spokesperson, link/action and sentiment; disclose weighting.</w:t>
            </w:r>
          </w:p>
        </w:tc>
      </w:tr>
      <w:tr w:rsidR="00FD67E1">
        <w:trPr>
          <w:cantSplit/>
          <w:jc w:val="center"/>
        </w:trPr>
        <w:tc>
          <w:tcPr>
            <w:tcW w:w="2376" w:type="dxa"/>
            <w:shd w:val="clear" w:color="auto" w:fill="F4F7F8"/>
            <w:tcMar>
              <w:top w:w="80" w:type="dxa"/>
              <w:left w:w="100" w:type="dxa"/>
              <w:bottom w:w="80" w:type="dxa"/>
              <w:right w:w="100" w:type="dxa"/>
            </w:tcMar>
            <w:vAlign w:val="center"/>
          </w:tcPr>
          <w:p w:rsidR="00FD67E1" w:rsidRDefault="00EE0B9A">
            <w:pPr>
              <w:spacing w:after="0"/>
            </w:pPr>
            <w:r>
              <w:rPr>
                <w:sz w:val="16"/>
              </w:rPr>
              <w:t>Conversion rate</w:t>
            </w:r>
          </w:p>
        </w:tc>
        <w:tc>
          <w:tcPr>
            <w:tcW w:w="7272" w:type="dxa"/>
            <w:shd w:val="clear" w:color="auto" w:fill="F4F7F8"/>
            <w:tcMar>
              <w:top w:w="80" w:type="dxa"/>
              <w:left w:w="100" w:type="dxa"/>
              <w:bottom w:w="80" w:type="dxa"/>
              <w:right w:w="100" w:type="dxa"/>
            </w:tcMar>
            <w:vAlign w:val="center"/>
          </w:tcPr>
          <w:p w:rsidR="00FD67E1" w:rsidRDefault="00EE0B9A">
            <w:pPr>
              <w:spacing w:after="0"/>
            </w:pPr>
            <w:r>
              <w:rPr>
                <w:sz w:val="16"/>
              </w:rPr>
              <w:t>Completed intended actions divided by the defined eligible visits or leads; state attribution window.</w:t>
            </w:r>
          </w:p>
        </w:tc>
      </w:tr>
      <w:tr w:rsidR="00FD67E1">
        <w:trPr>
          <w:cantSplit/>
          <w:jc w:val="center"/>
        </w:trPr>
        <w:tc>
          <w:tcPr>
            <w:tcW w:w="2376" w:type="dxa"/>
            <w:tcMar>
              <w:top w:w="80" w:type="dxa"/>
              <w:left w:w="100" w:type="dxa"/>
              <w:bottom w:w="80" w:type="dxa"/>
              <w:right w:w="100" w:type="dxa"/>
            </w:tcMar>
            <w:vAlign w:val="center"/>
          </w:tcPr>
          <w:p w:rsidR="00FD67E1" w:rsidRDefault="00EE0B9A">
            <w:pPr>
              <w:spacing w:after="0"/>
            </w:pPr>
            <w:r>
              <w:rPr>
                <w:sz w:val="16"/>
              </w:rPr>
              <w:t>Cost per qualified action</w:t>
            </w:r>
          </w:p>
        </w:tc>
        <w:tc>
          <w:tcPr>
            <w:tcW w:w="7272" w:type="dxa"/>
            <w:tcMar>
              <w:top w:w="80" w:type="dxa"/>
              <w:left w:w="100" w:type="dxa"/>
              <w:bottom w:w="80" w:type="dxa"/>
              <w:right w:w="100" w:type="dxa"/>
            </w:tcMar>
            <w:vAlign w:val="center"/>
          </w:tcPr>
          <w:p w:rsidR="00FD67E1" w:rsidRDefault="00EE0B9A">
            <w:pPr>
              <w:spacing w:after="0"/>
            </w:pPr>
            <w:r>
              <w:rPr>
                <w:sz w:val="16"/>
              </w:rPr>
              <w:t>Total relevant media cost divided by verified qualified actions; exclude unqualified platform-reported leads.</w:t>
            </w:r>
          </w:p>
        </w:tc>
      </w:tr>
      <w:tr w:rsidR="00FD67E1">
        <w:trPr>
          <w:cantSplit/>
          <w:jc w:val="center"/>
        </w:trPr>
        <w:tc>
          <w:tcPr>
            <w:tcW w:w="2376" w:type="dxa"/>
            <w:shd w:val="clear" w:color="auto" w:fill="F4F7F8"/>
            <w:tcMar>
              <w:top w:w="80" w:type="dxa"/>
              <w:left w:w="100" w:type="dxa"/>
              <w:bottom w:w="80" w:type="dxa"/>
              <w:right w:w="100" w:type="dxa"/>
            </w:tcMar>
            <w:vAlign w:val="center"/>
          </w:tcPr>
          <w:p w:rsidR="00FD67E1" w:rsidRDefault="00EE0B9A">
            <w:pPr>
              <w:spacing w:after="0"/>
            </w:pPr>
            <w:r>
              <w:rPr>
                <w:sz w:val="16"/>
              </w:rPr>
              <w:t>Share of relevant voice</w:t>
            </w:r>
          </w:p>
        </w:tc>
        <w:tc>
          <w:tcPr>
            <w:tcW w:w="7272" w:type="dxa"/>
            <w:shd w:val="clear" w:color="auto" w:fill="F4F7F8"/>
            <w:tcMar>
              <w:top w:w="80" w:type="dxa"/>
              <w:left w:w="100" w:type="dxa"/>
              <w:bottom w:w="80" w:type="dxa"/>
              <w:right w:w="100" w:type="dxa"/>
            </w:tcMar>
            <w:vAlign w:val="center"/>
          </w:tcPr>
          <w:p w:rsidR="00FD67E1" w:rsidRDefault="00EE0B9A">
            <w:pPr>
              <w:spacing w:after="0"/>
            </w:pPr>
            <w:r>
              <w:rPr>
                <w:sz w:val="16"/>
              </w:rPr>
              <w:t>Tharaa coverage divided by defined relevant-category coverage using a disclosed outlet and topic set; not generic mention volume.</w:t>
            </w:r>
          </w:p>
        </w:tc>
      </w:tr>
      <w:tr w:rsidR="00FD67E1">
        <w:trPr>
          <w:cantSplit/>
          <w:jc w:val="center"/>
        </w:trPr>
        <w:tc>
          <w:tcPr>
            <w:tcW w:w="2376" w:type="dxa"/>
            <w:tcMar>
              <w:top w:w="80" w:type="dxa"/>
              <w:left w:w="100" w:type="dxa"/>
              <w:bottom w:w="80" w:type="dxa"/>
              <w:right w:w="100" w:type="dxa"/>
            </w:tcMar>
            <w:vAlign w:val="center"/>
          </w:tcPr>
          <w:p w:rsidR="00FD67E1" w:rsidRDefault="00EE0B9A">
            <w:pPr>
              <w:spacing w:after="0"/>
            </w:pPr>
            <w:r>
              <w:rPr>
                <w:sz w:val="16"/>
              </w:rPr>
              <w:t>Outcome measure</w:t>
            </w:r>
          </w:p>
        </w:tc>
        <w:tc>
          <w:tcPr>
            <w:tcW w:w="7272" w:type="dxa"/>
            <w:tcMar>
              <w:top w:w="80" w:type="dxa"/>
              <w:left w:w="100" w:type="dxa"/>
              <w:bottom w:w="80" w:type="dxa"/>
              <w:right w:w="100" w:type="dxa"/>
            </w:tcMar>
            <w:vAlign w:val="center"/>
          </w:tcPr>
          <w:p w:rsidR="00FD67E1" w:rsidRDefault="00EE0B9A">
            <w:pPr>
              <w:spacing w:after="0"/>
            </w:pPr>
            <w:r>
              <w:rPr>
                <w:sz w:val="16"/>
              </w:rPr>
              <w:t>Must come from an authorised operational owner, include a reporting period and clearly distinguish target, pipeline and realised result.</w:t>
            </w:r>
          </w:p>
        </w:tc>
      </w:tr>
    </w:tbl>
    <w:p w:rsidR="00FD67E1" w:rsidRDefault="00FD67E1">
      <w:pPr>
        <w:spacing w:after="0"/>
      </w:pPr>
    </w:p>
    <w:p w:rsidR="00FD67E1" w:rsidRDefault="00EE0B9A">
      <w:pPr>
        <w:pStyle w:val="Heading2"/>
      </w:pPr>
      <w:r>
        <w:t>E3 Reporting pack</w:t>
      </w:r>
    </w:p>
    <w:p w:rsidR="00FD67E1" w:rsidRDefault="00EE0B9A">
      <w:pPr>
        <w:pStyle w:val="CompactBullet"/>
      </w:pPr>
      <w:r>
        <w:t>Live executive dashboard with filters by entity, audience, campaign, channel, geography and reporting period.</w:t>
      </w:r>
    </w:p>
    <w:p w:rsidR="00FD67E1" w:rsidRDefault="00EE0B9A">
      <w:pPr>
        <w:pStyle w:val="CompactBullet"/>
      </w:pPr>
      <w:r>
        <w:lastRenderedPageBreak/>
        <w:t>Monthly management report beginning with decisions and corrective actions, followed by results, interpretation, risks and detailed appendix.</w:t>
      </w:r>
    </w:p>
    <w:p w:rsidR="00FD67E1" w:rsidRDefault="00EE0B9A">
      <w:pPr>
        <w:pStyle w:val="CompactBullet"/>
      </w:pPr>
      <w:r>
        <w:t>Quarterly strategic review comparing performance to baseline, target and prior period; explaining drivers and reallocating effort or budget.</w:t>
      </w:r>
    </w:p>
    <w:p w:rsidR="00FD67E1" w:rsidRDefault="00EE0B9A">
      <w:pPr>
        <w:pStyle w:val="CompactBullet"/>
      </w:pPr>
      <w:r>
        <w:t>Campaign and event reports within five working days for routine activations and within seven days for major launches.</w:t>
      </w:r>
    </w:p>
    <w:p w:rsidR="00FD67E1" w:rsidRDefault="00EE0B9A">
      <w:pPr>
        <w:pStyle w:val="CompactBullet"/>
      </w:pPr>
      <w:r>
        <w:t>Raw data exports, campaign settings, media lists, coverage links, content register and cost reconciliation supplied with each reporting cycle.</w:t>
      </w:r>
    </w:p>
    <w:p w:rsidR="00FD67E1" w:rsidRDefault="00EE0B9A">
      <w:pPr>
        <w:pStyle w:val="CompactBullet"/>
      </w:pPr>
      <w:r>
        <w:t>Data-quality section identifying missing tracking, platform changes, duplicate leads, attribution limitations, delayed operational data and any manual adjustments.</w:t>
      </w:r>
    </w:p>
    <w:p w:rsidR="00FD67E1" w:rsidRDefault="00EE0B9A">
      <w:pPr>
        <w:pStyle w:val="Heading2"/>
      </w:pPr>
      <w:r>
        <w:t>E4 Data governance</w:t>
      </w:r>
    </w:p>
    <w:p w:rsidR="00FD67E1" w:rsidRDefault="00EE0B9A">
      <w:pPr>
        <w:pStyle w:val="CompactBullet"/>
      </w:pPr>
      <w:r>
        <w:t>Tharaa owns all first-party data, platform accounts, pixels, tags, audiences, reports and derived taxonomies.</w:t>
      </w:r>
    </w:p>
    <w:p w:rsidR="00FD67E1" w:rsidRDefault="00EE0B9A">
      <w:pPr>
        <w:pStyle w:val="CompactBullet"/>
      </w:pPr>
      <w:r>
        <w:t>Access is role-based, approved and revoked promptly when personnel change. Shared personal credentials are prohibited.</w:t>
      </w:r>
    </w:p>
    <w:p w:rsidR="00FD67E1" w:rsidRDefault="00EE0B9A">
      <w:pPr>
        <w:pStyle w:val="CompactBullet"/>
      </w:pPr>
      <w:r>
        <w:t>Personal data is collected only for defined purposes with approved notices and consent; sensitive data is not placed in routine content or reporting files.</w:t>
      </w:r>
    </w:p>
    <w:p w:rsidR="00FD67E1" w:rsidRDefault="00EE0B9A">
      <w:pPr>
        <w:pStyle w:val="CompactBullet"/>
      </w:pPr>
      <w:r>
        <w:t>Dashboards must not expose identifiable applicant, founder, investor, employee or beneficiary information beyond authorised operational users.</w:t>
      </w:r>
    </w:p>
    <w:p w:rsidR="00FD67E1" w:rsidRDefault="00EE0B9A">
      <w:pPr>
        <w:pStyle w:val="CompactBullet"/>
      </w:pPr>
      <w:r>
        <w:t>The agency must report any suspected data, credential or account incident immediately and preserve evidence.</w:t>
      </w:r>
    </w:p>
    <w:p w:rsidR="00FD67E1" w:rsidRDefault="00EE0B9A">
      <w:pPr>
        <w:pStyle w:val="CompactBullet"/>
      </w:pPr>
      <w:r>
        <w:t>At contract end, the agency must transfer all data and access, certify deletion of retained copies where required and support an orderly transition.</w:t>
      </w:r>
    </w:p>
    <w:p w:rsidR="00FD67E1" w:rsidRDefault="00EE0B9A">
      <w:r>
        <w:br w:type="page"/>
      </w:r>
    </w:p>
    <w:p w:rsidR="00FD67E1" w:rsidRDefault="00EE0B9A">
      <w:pPr>
        <w:pStyle w:val="Heading1"/>
      </w:pPr>
      <w:r>
        <w:lastRenderedPageBreak/>
        <w:t>Schedule F Governance Approval and Delivery Controls</w:t>
      </w:r>
    </w:p>
    <w:p w:rsidR="00FD67E1" w:rsidRDefault="00EE0B9A">
      <w:pPr>
        <w:pStyle w:val="Heading2"/>
      </w:pPr>
      <w:r>
        <w:t>F1 Governance model</w:t>
      </w:r>
    </w:p>
    <w:p w:rsidR="00FD67E1" w:rsidRDefault="00EE0B9A">
      <w:r>
        <w:t>The final governance structure will be confirmed at mobilisation. The bidder must use the following minimum model in its proposal and identify any assumptions. “Approval” means documented approval through the agreed system; silence does not constitute approval.</w:t>
      </w:r>
    </w:p>
    <w:tbl>
      <w:tblPr>
        <w:tblStyle w:val="TableGrid"/>
        <w:tblW w:w="0" w:type="auto"/>
        <w:jc w:val="center"/>
        <w:tblLook w:val="04A0" w:firstRow="1" w:lastRow="0" w:firstColumn="1" w:lastColumn="0" w:noHBand="0" w:noVBand="1"/>
      </w:tblPr>
      <w:tblGrid>
        <w:gridCol w:w="2520"/>
        <w:gridCol w:w="7128"/>
      </w:tblGrid>
      <w:tr w:rsidR="00FD67E1">
        <w:trPr>
          <w:cantSplit/>
          <w:tblHeader/>
          <w:jc w:val="center"/>
        </w:trPr>
        <w:tc>
          <w:tcPr>
            <w:tcW w:w="2520" w:type="dxa"/>
            <w:shd w:val="clear" w:color="auto" w:fill="13283F"/>
            <w:tcMar>
              <w:top w:w="80" w:type="dxa"/>
              <w:left w:w="100" w:type="dxa"/>
              <w:bottom w:w="80" w:type="dxa"/>
              <w:right w:w="100" w:type="dxa"/>
            </w:tcMar>
          </w:tcPr>
          <w:p w:rsidR="00FD67E1" w:rsidRDefault="00EE0B9A">
            <w:r>
              <w:rPr>
                <w:b/>
                <w:color w:val="FFFFFF"/>
                <w:sz w:val="16"/>
              </w:rPr>
              <w:t>Role</w:t>
            </w:r>
          </w:p>
        </w:tc>
        <w:tc>
          <w:tcPr>
            <w:tcW w:w="7128" w:type="dxa"/>
            <w:shd w:val="clear" w:color="auto" w:fill="13283F"/>
            <w:tcMar>
              <w:top w:w="80" w:type="dxa"/>
              <w:left w:w="100" w:type="dxa"/>
              <w:bottom w:w="80" w:type="dxa"/>
              <w:right w:w="100" w:type="dxa"/>
            </w:tcMar>
          </w:tcPr>
          <w:p w:rsidR="00FD67E1" w:rsidRDefault="00EE0B9A">
            <w:r>
              <w:rPr>
                <w:b/>
                <w:color w:val="FFFFFF"/>
                <w:sz w:val="16"/>
              </w:rPr>
              <w:t>Core responsibility</w:t>
            </w:r>
          </w:p>
        </w:tc>
      </w:tr>
      <w:tr w:rsidR="00FD67E1">
        <w:trPr>
          <w:cantSplit/>
          <w:jc w:val="center"/>
        </w:trPr>
        <w:tc>
          <w:tcPr>
            <w:tcW w:w="2520" w:type="dxa"/>
            <w:tcMar>
              <w:top w:w="80" w:type="dxa"/>
              <w:left w:w="100" w:type="dxa"/>
              <w:bottom w:w="80" w:type="dxa"/>
              <w:right w:w="100" w:type="dxa"/>
            </w:tcMar>
            <w:vAlign w:val="center"/>
          </w:tcPr>
          <w:p w:rsidR="00FD67E1" w:rsidRDefault="00EE0B9A">
            <w:pPr>
              <w:spacing w:after="0"/>
            </w:pPr>
            <w:r>
              <w:rPr>
                <w:sz w:val="16"/>
              </w:rPr>
              <w:t>Institutional representative</w:t>
            </w:r>
          </w:p>
        </w:tc>
        <w:tc>
          <w:tcPr>
            <w:tcW w:w="7128" w:type="dxa"/>
            <w:tcMar>
              <w:top w:w="80" w:type="dxa"/>
              <w:left w:w="100" w:type="dxa"/>
              <w:bottom w:w="80" w:type="dxa"/>
              <w:right w:w="100" w:type="dxa"/>
            </w:tcMar>
            <w:vAlign w:val="center"/>
          </w:tcPr>
          <w:p w:rsidR="00FD67E1" w:rsidRDefault="00EE0B9A">
            <w:pPr>
              <w:spacing w:after="0"/>
            </w:pPr>
            <w:r>
              <w:rPr>
                <w:sz w:val="16"/>
              </w:rPr>
              <w:t>Confirms official marks, major institutional claims and matters reserved under the agreed authority framework.</w:t>
            </w:r>
          </w:p>
        </w:tc>
      </w:tr>
      <w:tr w:rsidR="00FD67E1">
        <w:trPr>
          <w:cantSplit/>
          <w:jc w:val="center"/>
        </w:trPr>
        <w:tc>
          <w:tcPr>
            <w:tcW w:w="2520" w:type="dxa"/>
            <w:shd w:val="clear" w:color="auto" w:fill="F4F7F8"/>
            <w:tcMar>
              <w:top w:w="80" w:type="dxa"/>
              <w:left w:w="100" w:type="dxa"/>
              <w:bottom w:w="80" w:type="dxa"/>
              <w:right w:w="100" w:type="dxa"/>
            </w:tcMar>
            <w:vAlign w:val="center"/>
          </w:tcPr>
          <w:p w:rsidR="00FD67E1" w:rsidRDefault="00EE0B9A">
            <w:pPr>
              <w:spacing w:after="0"/>
            </w:pPr>
            <w:r>
              <w:rPr>
                <w:sz w:val="16"/>
              </w:rPr>
              <w:t>Tharaa Chairperson or authorised delegate</w:t>
            </w:r>
          </w:p>
        </w:tc>
        <w:tc>
          <w:tcPr>
            <w:tcW w:w="7128" w:type="dxa"/>
            <w:shd w:val="clear" w:color="auto" w:fill="F4F7F8"/>
            <w:tcMar>
              <w:top w:w="80" w:type="dxa"/>
              <w:left w:w="100" w:type="dxa"/>
              <w:bottom w:w="80" w:type="dxa"/>
              <w:right w:w="100" w:type="dxa"/>
            </w:tcMar>
            <w:vAlign w:val="center"/>
          </w:tcPr>
          <w:p w:rsidR="00FD67E1" w:rsidRDefault="00EE0B9A">
            <w:pPr>
              <w:spacing w:after="0"/>
            </w:pPr>
            <w:r>
              <w:rPr>
                <w:sz w:val="16"/>
              </w:rPr>
              <w:t>Approves strategic reputation, protocol-sensitive leadership communications and matters reserved to the Board or Chairperson.</w:t>
            </w:r>
          </w:p>
        </w:tc>
      </w:tr>
      <w:tr w:rsidR="00FD67E1">
        <w:trPr>
          <w:cantSplit/>
          <w:jc w:val="center"/>
        </w:trPr>
        <w:tc>
          <w:tcPr>
            <w:tcW w:w="2520" w:type="dxa"/>
            <w:tcMar>
              <w:top w:w="80" w:type="dxa"/>
              <w:left w:w="100" w:type="dxa"/>
              <w:bottom w:w="80" w:type="dxa"/>
              <w:right w:w="100" w:type="dxa"/>
            </w:tcMar>
            <w:vAlign w:val="center"/>
          </w:tcPr>
          <w:p w:rsidR="00FD67E1" w:rsidRDefault="00EE0B9A">
            <w:pPr>
              <w:spacing w:after="0"/>
            </w:pPr>
            <w:r>
              <w:rPr>
                <w:sz w:val="16"/>
              </w:rPr>
              <w:t>Tharaa Group CEO</w:t>
            </w:r>
          </w:p>
        </w:tc>
        <w:tc>
          <w:tcPr>
            <w:tcW w:w="7128" w:type="dxa"/>
            <w:tcMar>
              <w:top w:w="80" w:type="dxa"/>
              <w:left w:w="100" w:type="dxa"/>
              <w:bottom w:w="80" w:type="dxa"/>
              <w:right w:w="100" w:type="dxa"/>
            </w:tcMar>
            <w:vAlign w:val="center"/>
          </w:tcPr>
          <w:p w:rsidR="00FD67E1" w:rsidRDefault="00EE0B9A">
            <w:pPr>
              <w:spacing w:after="0"/>
            </w:pPr>
            <w:r>
              <w:rPr>
                <w:sz w:val="16"/>
              </w:rPr>
              <w:t>Executive sponsor; approves strategy, major campaigns, launch direction, executive messaging and material issues within authority.</w:t>
            </w:r>
          </w:p>
        </w:tc>
      </w:tr>
      <w:tr w:rsidR="00FD67E1">
        <w:trPr>
          <w:cantSplit/>
          <w:jc w:val="center"/>
        </w:trPr>
        <w:tc>
          <w:tcPr>
            <w:tcW w:w="2520" w:type="dxa"/>
            <w:shd w:val="clear" w:color="auto" w:fill="F4F7F8"/>
            <w:tcMar>
              <w:top w:w="80" w:type="dxa"/>
              <w:left w:w="100" w:type="dxa"/>
              <w:bottom w:w="80" w:type="dxa"/>
              <w:right w:w="100" w:type="dxa"/>
            </w:tcMar>
            <w:vAlign w:val="center"/>
          </w:tcPr>
          <w:p w:rsidR="00FD67E1" w:rsidRDefault="00EE0B9A">
            <w:pPr>
              <w:spacing w:after="0"/>
            </w:pPr>
            <w:r>
              <w:rPr>
                <w:sz w:val="16"/>
              </w:rPr>
              <w:t>Tharaa brand and communications owner</w:t>
            </w:r>
          </w:p>
        </w:tc>
        <w:tc>
          <w:tcPr>
            <w:tcW w:w="7128" w:type="dxa"/>
            <w:shd w:val="clear" w:color="auto" w:fill="F4F7F8"/>
            <w:tcMar>
              <w:top w:w="80" w:type="dxa"/>
              <w:left w:w="100" w:type="dxa"/>
              <w:bottom w:w="80" w:type="dxa"/>
              <w:right w:w="100" w:type="dxa"/>
            </w:tcMar>
            <w:vAlign w:val="center"/>
          </w:tcPr>
          <w:p w:rsidR="00FD67E1" w:rsidRDefault="00EE0B9A">
            <w:pPr>
              <w:spacing w:after="0"/>
            </w:pPr>
            <w:r>
              <w:rPr>
                <w:sz w:val="16"/>
              </w:rPr>
              <w:t>Day-to-day client authority; consolidates feedback, manages calendar, approves routine outputs within delegated authority and controls the evidence register.</w:t>
            </w:r>
          </w:p>
        </w:tc>
      </w:tr>
      <w:tr w:rsidR="00FD67E1">
        <w:trPr>
          <w:cantSplit/>
          <w:jc w:val="center"/>
        </w:trPr>
        <w:tc>
          <w:tcPr>
            <w:tcW w:w="2520" w:type="dxa"/>
            <w:tcMar>
              <w:top w:w="80" w:type="dxa"/>
              <w:left w:w="100" w:type="dxa"/>
              <w:bottom w:w="80" w:type="dxa"/>
              <w:right w:w="100" w:type="dxa"/>
            </w:tcMar>
            <w:vAlign w:val="center"/>
          </w:tcPr>
          <w:p w:rsidR="00FD67E1" w:rsidRDefault="00EE0B9A">
            <w:pPr>
              <w:spacing w:after="0"/>
            </w:pPr>
            <w:r>
              <w:rPr>
                <w:sz w:val="16"/>
              </w:rPr>
              <w:t>Entity lead</w:t>
            </w:r>
          </w:p>
        </w:tc>
        <w:tc>
          <w:tcPr>
            <w:tcW w:w="7128" w:type="dxa"/>
            <w:tcMar>
              <w:top w:w="80" w:type="dxa"/>
              <w:left w:w="100" w:type="dxa"/>
              <w:bottom w:w="80" w:type="dxa"/>
              <w:right w:w="100" w:type="dxa"/>
            </w:tcMar>
            <w:vAlign w:val="center"/>
          </w:tcPr>
          <w:p w:rsidR="00FD67E1" w:rsidRDefault="00EE0B9A">
            <w:pPr>
              <w:spacing w:after="0"/>
            </w:pPr>
            <w:r>
              <w:rPr>
                <w:sz w:val="16"/>
              </w:rPr>
              <w:t>Confirms operational facts, audience needs, offers, milestones and subject-matter accuracy for the relevant entity.</w:t>
            </w:r>
          </w:p>
        </w:tc>
      </w:tr>
      <w:tr w:rsidR="00FD67E1">
        <w:trPr>
          <w:cantSplit/>
          <w:jc w:val="center"/>
        </w:trPr>
        <w:tc>
          <w:tcPr>
            <w:tcW w:w="2520" w:type="dxa"/>
            <w:shd w:val="clear" w:color="auto" w:fill="F4F7F8"/>
            <w:tcMar>
              <w:top w:w="80" w:type="dxa"/>
              <w:left w:w="100" w:type="dxa"/>
              <w:bottom w:w="80" w:type="dxa"/>
              <w:right w:w="100" w:type="dxa"/>
            </w:tcMar>
            <w:vAlign w:val="center"/>
          </w:tcPr>
          <w:p w:rsidR="00FD67E1" w:rsidRDefault="00EE0B9A">
            <w:pPr>
              <w:spacing w:after="0"/>
            </w:pPr>
            <w:r>
              <w:rPr>
                <w:sz w:val="16"/>
              </w:rPr>
              <w:t>Legal compliance and procurement</w:t>
            </w:r>
          </w:p>
        </w:tc>
        <w:tc>
          <w:tcPr>
            <w:tcW w:w="7128" w:type="dxa"/>
            <w:shd w:val="clear" w:color="auto" w:fill="F4F7F8"/>
            <w:tcMar>
              <w:top w:w="80" w:type="dxa"/>
              <w:left w:w="100" w:type="dxa"/>
              <w:bottom w:w="80" w:type="dxa"/>
              <w:right w:w="100" w:type="dxa"/>
            </w:tcMar>
            <w:vAlign w:val="center"/>
          </w:tcPr>
          <w:p w:rsidR="00FD67E1" w:rsidRDefault="00EE0B9A">
            <w:pPr>
              <w:spacing w:after="0"/>
            </w:pPr>
            <w:r>
              <w:rPr>
                <w:sz w:val="16"/>
              </w:rPr>
              <w:t>Reviews contracts, regulated claims, privacy, intellectual property, procurement compliance and legal risk where required.</w:t>
            </w:r>
          </w:p>
        </w:tc>
      </w:tr>
      <w:tr w:rsidR="00FD67E1">
        <w:trPr>
          <w:cantSplit/>
          <w:jc w:val="center"/>
        </w:trPr>
        <w:tc>
          <w:tcPr>
            <w:tcW w:w="2520" w:type="dxa"/>
            <w:tcMar>
              <w:top w:w="80" w:type="dxa"/>
              <w:left w:w="100" w:type="dxa"/>
              <w:bottom w:w="80" w:type="dxa"/>
              <w:right w:w="100" w:type="dxa"/>
            </w:tcMar>
            <w:vAlign w:val="center"/>
          </w:tcPr>
          <w:p w:rsidR="00FD67E1" w:rsidRDefault="00EE0B9A">
            <w:pPr>
              <w:spacing w:after="0"/>
            </w:pPr>
            <w:r>
              <w:rPr>
                <w:sz w:val="16"/>
              </w:rPr>
              <w:t>Agency account director</w:t>
            </w:r>
          </w:p>
        </w:tc>
        <w:tc>
          <w:tcPr>
            <w:tcW w:w="7128" w:type="dxa"/>
            <w:tcMar>
              <w:top w:w="80" w:type="dxa"/>
              <w:left w:w="100" w:type="dxa"/>
              <w:bottom w:w="80" w:type="dxa"/>
              <w:right w:w="100" w:type="dxa"/>
            </w:tcMar>
            <w:vAlign w:val="center"/>
          </w:tcPr>
          <w:p w:rsidR="00FD67E1" w:rsidRDefault="00EE0B9A">
            <w:pPr>
              <w:spacing w:after="0"/>
            </w:pPr>
            <w:r>
              <w:rPr>
                <w:sz w:val="16"/>
              </w:rPr>
              <w:t>Accountable for delivery, quality, resourcing, escalation, financial control and formal status reporting.</w:t>
            </w:r>
          </w:p>
        </w:tc>
      </w:tr>
      <w:tr w:rsidR="00FD67E1">
        <w:trPr>
          <w:cantSplit/>
          <w:jc w:val="center"/>
        </w:trPr>
        <w:tc>
          <w:tcPr>
            <w:tcW w:w="2520" w:type="dxa"/>
            <w:shd w:val="clear" w:color="auto" w:fill="F4F7F8"/>
            <w:tcMar>
              <w:top w:w="80" w:type="dxa"/>
              <w:left w:w="100" w:type="dxa"/>
              <w:bottom w:w="80" w:type="dxa"/>
              <w:right w:w="100" w:type="dxa"/>
            </w:tcMar>
            <w:vAlign w:val="center"/>
          </w:tcPr>
          <w:p w:rsidR="00FD67E1" w:rsidRDefault="00EE0B9A">
            <w:pPr>
              <w:spacing w:after="0"/>
            </w:pPr>
            <w:r>
              <w:rPr>
                <w:sz w:val="16"/>
              </w:rPr>
              <w:t>Agency discipline leads</w:t>
            </w:r>
          </w:p>
        </w:tc>
        <w:tc>
          <w:tcPr>
            <w:tcW w:w="7128" w:type="dxa"/>
            <w:shd w:val="clear" w:color="auto" w:fill="F4F7F8"/>
            <w:tcMar>
              <w:top w:w="80" w:type="dxa"/>
              <w:left w:w="100" w:type="dxa"/>
              <w:bottom w:w="80" w:type="dxa"/>
              <w:right w:w="100" w:type="dxa"/>
            </w:tcMar>
            <w:vAlign w:val="center"/>
          </w:tcPr>
          <w:p w:rsidR="00FD67E1" w:rsidRDefault="00EE0B9A">
            <w:pPr>
              <w:spacing w:after="0"/>
            </w:pPr>
            <w:r>
              <w:rPr>
                <w:sz w:val="16"/>
              </w:rPr>
              <w:t>Own strategy, creative, Arabic/English editorial, PR, digital, production, community, performance and technology quality.</w:t>
            </w:r>
          </w:p>
        </w:tc>
      </w:tr>
    </w:tbl>
    <w:p w:rsidR="00FD67E1" w:rsidRDefault="00FD67E1">
      <w:pPr>
        <w:spacing w:after="0"/>
      </w:pPr>
    </w:p>
    <w:p w:rsidR="00FD67E1" w:rsidRDefault="00EE0B9A">
      <w:pPr>
        <w:pStyle w:val="Heading2"/>
      </w:pPr>
      <w:r>
        <w:t>F2 Indicative approval matrix</w:t>
      </w:r>
    </w:p>
    <w:tbl>
      <w:tblPr>
        <w:tblStyle w:val="TableGrid"/>
        <w:tblW w:w="0" w:type="auto"/>
        <w:jc w:val="center"/>
        <w:tblLook w:val="04A0" w:firstRow="1" w:lastRow="0" w:firstColumn="1" w:lastColumn="0" w:noHBand="0" w:noVBand="1"/>
      </w:tblPr>
      <w:tblGrid>
        <w:gridCol w:w="2304"/>
        <w:gridCol w:w="4032"/>
        <w:gridCol w:w="3312"/>
      </w:tblGrid>
      <w:tr w:rsidR="00FD67E1">
        <w:trPr>
          <w:cantSplit/>
          <w:tblHeader/>
          <w:jc w:val="center"/>
        </w:trPr>
        <w:tc>
          <w:tcPr>
            <w:tcW w:w="2304" w:type="dxa"/>
            <w:shd w:val="clear" w:color="auto" w:fill="13283F"/>
            <w:tcMar>
              <w:top w:w="80" w:type="dxa"/>
              <w:left w:w="100" w:type="dxa"/>
              <w:bottom w:w="80" w:type="dxa"/>
              <w:right w:w="100" w:type="dxa"/>
            </w:tcMar>
          </w:tcPr>
          <w:p w:rsidR="00FD67E1" w:rsidRDefault="00EE0B9A">
            <w:r>
              <w:rPr>
                <w:b/>
                <w:color w:val="FFFFFF"/>
                <w:sz w:val="16"/>
              </w:rPr>
              <w:t>Deliverable</w:t>
            </w:r>
          </w:p>
        </w:tc>
        <w:tc>
          <w:tcPr>
            <w:tcW w:w="4032" w:type="dxa"/>
            <w:shd w:val="clear" w:color="auto" w:fill="13283F"/>
            <w:tcMar>
              <w:top w:w="80" w:type="dxa"/>
              <w:left w:w="100" w:type="dxa"/>
              <w:bottom w:w="80" w:type="dxa"/>
              <w:right w:w="100" w:type="dxa"/>
            </w:tcMar>
          </w:tcPr>
          <w:p w:rsidR="00FD67E1" w:rsidRDefault="00EE0B9A">
            <w:r>
              <w:rPr>
                <w:b/>
                <w:color w:val="FFFFFF"/>
                <w:sz w:val="16"/>
              </w:rPr>
              <w:t>Operational review</w:t>
            </w:r>
          </w:p>
        </w:tc>
        <w:tc>
          <w:tcPr>
            <w:tcW w:w="3312" w:type="dxa"/>
            <w:shd w:val="clear" w:color="auto" w:fill="13283F"/>
            <w:tcMar>
              <w:top w:w="80" w:type="dxa"/>
              <w:left w:w="100" w:type="dxa"/>
              <w:bottom w:w="80" w:type="dxa"/>
              <w:right w:w="100" w:type="dxa"/>
            </w:tcMar>
          </w:tcPr>
          <w:p w:rsidR="00FD67E1" w:rsidRDefault="00EE0B9A">
            <w:r>
              <w:rPr>
                <w:b/>
                <w:color w:val="FFFFFF"/>
                <w:sz w:val="16"/>
              </w:rPr>
              <w:t>Final approval</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Brand strategy and architecture</w:t>
            </w:r>
          </w:p>
        </w:tc>
        <w:tc>
          <w:tcPr>
            <w:tcW w:w="4032" w:type="dxa"/>
            <w:tcMar>
              <w:top w:w="80" w:type="dxa"/>
              <w:left w:w="100" w:type="dxa"/>
              <w:bottom w:w="80" w:type="dxa"/>
              <w:right w:w="100" w:type="dxa"/>
            </w:tcMar>
            <w:vAlign w:val="center"/>
          </w:tcPr>
          <w:p w:rsidR="00FD67E1" w:rsidRDefault="00EE0B9A">
            <w:pPr>
              <w:spacing w:after="0"/>
            </w:pPr>
            <w:r>
              <w:rPr>
                <w:sz w:val="16"/>
              </w:rPr>
              <w:t>Brand owner, entity leads, institutional representative and legal where required</w:t>
            </w:r>
          </w:p>
        </w:tc>
        <w:tc>
          <w:tcPr>
            <w:tcW w:w="3312" w:type="dxa"/>
            <w:tcMar>
              <w:top w:w="80" w:type="dxa"/>
              <w:left w:w="100" w:type="dxa"/>
              <w:bottom w:w="80" w:type="dxa"/>
              <w:right w:w="100" w:type="dxa"/>
            </w:tcMar>
            <w:vAlign w:val="center"/>
          </w:tcPr>
          <w:p w:rsidR="00FD67E1" w:rsidRDefault="00EE0B9A">
            <w:pPr>
              <w:spacing w:after="0"/>
            </w:pPr>
            <w:r>
              <w:rPr>
                <w:sz w:val="16"/>
              </w:rPr>
              <w:t>Group CEO and designated authority.</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Visual identity and guidelines</w:t>
            </w:r>
          </w:p>
        </w:tc>
        <w:tc>
          <w:tcPr>
            <w:tcW w:w="4032" w:type="dxa"/>
            <w:shd w:val="clear" w:color="auto" w:fill="F4F7F8"/>
            <w:tcMar>
              <w:top w:w="80" w:type="dxa"/>
              <w:left w:w="100" w:type="dxa"/>
              <w:bottom w:w="80" w:type="dxa"/>
              <w:right w:w="100" w:type="dxa"/>
            </w:tcMar>
            <w:vAlign w:val="center"/>
          </w:tcPr>
          <w:p w:rsidR="00FD67E1" w:rsidRDefault="00EE0B9A">
            <w:pPr>
              <w:spacing w:after="0"/>
            </w:pPr>
            <w:r>
              <w:rPr>
                <w:sz w:val="16"/>
              </w:rPr>
              <w:t>Brand owner, digital, facilities and entity leads</w:t>
            </w:r>
          </w:p>
        </w:tc>
        <w:tc>
          <w:tcPr>
            <w:tcW w:w="3312" w:type="dxa"/>
            <w:shd w:val="clear" w:color="auto" w:fill="F4F7F8"/>
            <w:tcMar>
              <w:top w:w="80" w:type="dxa"/>
              <w:left w:w="100" w:type="dxa"/>
              <w:bottom w:w="80" w:type="dxa"/>
              <w:right w:w="100" w:type="dxa"/>
            </w:tcMar>
            <w:vAlign w:val="center"/>
          </w:tcPr>
          <w:p w:rsidR="00FD67E1" w:rsidRDefault="00EE0B9A">
            <w:pPr>
              <w:spacing w:after="0"/>
            </w:pPr>
            <w:r>
              <w:rPr>
                <w:sz w:val="16"/>
              </w:rPr>
              <w:t>Group CEO and designated authority.</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Routine social content</w:t>
            </w:r>
          </w:p>
        </w:tc>
        <w:tc>
          <w:tcPr>
            <w:tcW w:w="4032" w:type="dxa"/>
            <w:tcMar>
              <w:top w:w="80" w:type="dxa"/>
              <w:left w:w="100" w:type="dxa"/>
              <w:bottom w:w="80" w:type="dxa"/>
              <w:right w:w="100" w:type="dxa"/>
            </w:tcMar>
            <w:vAlign w:val="center"/>
          </w:tcPr>
          <w:p w:rsidR="00FD67E1" w:rsidRDefault="00EE0B9A">
            <w:pPr>
              <w:spacing w:after="0"/>
            </w:pPr>
            <w:r>
              <w:rPr>
                <w:sz w:val="16"/>
              </w:rPr>
              <w:t>Entity factual owner and brand team</w:t>
            </w:r>
          </w:p>
        </w:tc>
        <w:tc>
          <w:tcPr>
            <w:tcW w:w="3312" w:type="dxa"/>
            <w:tcMar>
              <w:top w:w="80" w:type="dxa"/>
              <w:left w:w="100" w:type="dxa"/>
              <w:bottom w:w="80" w:type="dxa"/>
              <w:right w:w="100" w:type="dxa"/>
            </w:tcMar>
            <w:vAlign w:val="center"/>
          </w:tcPr>
          <w:p w:rsidR="00FD67E1" w:rsidRDefault="00EE0B9A">
            <w:pPr>
              <w:spacing w:after="0"/>
            </w:pPr>
            <w:r>
              <w:rPr>
                <w:sz w:val="16"/>
              </w:rPr>
              <w:t>Delegated Tharaa communications approver.</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Press release or partnership announcement</w:t>
            </w:r>
          </w:p>
        </w:tc>
        <w:tc>
          <w:tcPr>
            <w:tcW w:w="4032" w:type="dxa"/>
            <w:shd w:val="clear" w:color="auto" w:fill="F4F7F8"/>
            <w:tcMar>
              <w:top w:w="80" w:type="dxa"/>
              <w:left w:w="100" w:type="dxa"/>
              <w:bottom w:w="80" w:type="dxa"/>
              <w:right w:w="100" w:type="dxa"/>
            </w:tcMar>
            <w:vAlign w:val="center"/>
          </w:tcPr>
          <w:p w:rsidR="00FD67E1" w:rsidRDefault="00EE0B9A">
            <w:pPr>
              <w:spacing w:after="0"/>
            </w:pPr>
            <w:r>
              <w:rPr>
                <w:sz w:val="16"/>
              </w:rPr>
              <w:t>Entity owner, brand, legal/procurement and partner</w:t>
            </w:r>
          </w:p>
        </w:tc>
        <w:tc>
          <w:tcPr>
            <w:tcW w:w="3312" w:type="dxa"/>
            <w:shd w:val="clear" w:color="auto" w:fill="F4F7F8"/>
            <w:tcMar>
              <w:top w:w="80" w:type="dxa"/>
              <w:left w:w="100" w:type="dxa"/>
              <w:bottom w:w="80" w:type="dxa"/>
              <w:right w:w="100" w:type="dxa"/>
            </w:tcMar>
            <w:vAlign w:val="center"/>
          </w:tcPr>
          <w:p w:rsidR="00FD67E1" w:rsidRDefault="00EE0B9A">
            <w:pPr>
              <w:spacing w:after="0"/>
            </w:pPr>
            <w:r>
              <w:rPr>
                <w:sz w:val="16"/>
              </w:rPr>
              <w:t>Group CEO or delegated executive.</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Investment communication</w:t>
            </w:r>
          </w:p>
        </w:tc>
        <w:tc>
          <w:tcPr>
            <w:tcW w:w="4032" w:type="dxa"/>
            <w:tcMar>
              <w:top w:w="80" w:type="dxa"/>
              <w:left w:w="100" w:type="dxa"/>
              <w:bottom w:w="80" w:type="dxa"/>
              <w:right w:w="100" w:type="dxa"/>
            </w:tcMar>
            <w:vAlign w:val="center"/>
          </w:tcPr>
          <w:p w:rsidR="00FD67E1" w:rsidRDefault="00EE0B9A">
            <w:pPr>
              <w:spacing w:after="0"/>
            </w:pPr>
            <w:r>
              <w:rPr>
                <w:sz w:val="16"/>
              </w:rPr>
              <w:t>Tharaa Capital, brand, legal/regulatory and evidence owner</w:t>
            </w:r>
          </w:p>
        </w:tc>
        <w:tc>
          <w:tcPr>
            <w:tcW w:w="3312" w:type="dxa"/>
            <w:tcMar>
              <w:top w:w="80" w:type="dxa"/>
              <w:left w:w="100" w:type="dxa"/>
              <w:bottom w:w="80" w:type="dxa"/>
              <w:right w:w="100" w:type="dxa"/>
            </w:tcMar>
            <w:vAlign w:val="center"/>
          </w:tcPr>
          <w:p w:rsidR="00FD67E1" w:rsidRDefault="00EE0B9A">
            <w:pPr>
              <w:spacing w:after="0"/>
            </w:pPr>
            <w:r>
              <w:rPr>
                <w:sz w:val="16"/>
              </w:rPr>
              <w:t>Only authorised investment and executive approvers.</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Chairperson or Board communication</w:t>
            </w:r>
          </w:p>
        </w:tc>
        <w:tc>
          <w:tcPr>
            <w:tcW w:w="4032" w:type="dxa"/>
            <w:shd w:val="clear" w:color="auto" w:fill="F4F7F8"/>
            <w:tcMar>
              <w:top w:w="80" w:type="dxa"/>
              <w:left w:w="100" w:type="dxa"/>
              <w:bottom w:w="80" w:type="dxa"/>
              <w:right w:w="100" w:type="dxa"/>
            </w:tcMar>
            <w:vAlign w:val="center"/>
          </w:tcPr>
          <w:p w:rsidR="00FD67E1" w:rsidRDefault="00EE0B9A">
            <w:pPr>
              <w:spacing w:after="0"/>
            </w:pPr>
            <w:r>
              <w:rPr>
                <w:sz w:val="16"/>
              </w:rPr>
              <w:t>Protocol, brand and relevant executive office</w:t>
            </w:r>
          </w:p>
        </w:tc>
        <w:tc>
          <w:tcPr>
            <w:tcW w:w="3312" w:type="dxa"/>
            <w:shd w:val="clear" w:color="auto" w:fill="F4F7F8"/>
            <w:tcMar>
              <w:top w:w="80" w:type="dxa"/>
              <w:left w:w="100" w:type="dxa"/>
              <w:bottom w:w="80" w:type="dxa"/>
              <w:right w:w="100" w:type="dxa"/>
            </w:tcMar>
            <w:vAlign w:val="center"/>
          </w:tcPr>
          <w:p w:rsidR="00FD67E1" w:rsidRDefault="00EE0B9A">
            <w:pPr>
              <w:spacing w:after="0"/>
            </w:pPr>
            <w:r>
              <w:rPr>
                <w:sz w:val="16"/>
              </w:rPr>
              <w:t>Chairperson or formally authorised delegate.</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Crisis response</w:t>
            </w:r>
          </w:p>
        </w:tc>
        <w:tc>
          <w:tcPr>
            <w:tcW w:w="4032" w:type="dxa"/>
            <w:tcMar>
              <w:top w:w="80" w:type="dxa"/>
              <w:left w:w="100" w:type="dxa"/>
              <w:bottom w:w="80" w:type="dxa"/>
              <w:right w:w="100" w:type="dxa"/>
            </w:tcMar>
            <w:vAlign w:val="center"/>
          </w:tcPr>
          <w:p w:rsidR="00FD67E1" w:rsidRDefault="00EE0B9A">
            <w:pPr>
              <w:spacing w:after="0"/>
            </w:pPr>
            <w:r>
              <w:rPr>
                <w:sz w:val="16"/>
              </w:rPr>
              <w:t>Facts owner, brand, legal, security/HR/operations as relevant</w:t>
            </w:r>
          </w:p>
        </w:tc>
        <w:tc>
          <w:tcPr>
            <w:tcW w:w="3312" w:type="dxa"/>
            <w:tcMar>
              <w:top w:w="80" w:type="dxa"/>
              <w:left w:w="100" w:type="dxa"/>
              <w:bottom w:w="80" w:type="dxa"/>
              <w:right w:w="100" w:type="dxa"/>
            </w:tcMar>
            <w:vAlign w:val="center"/>
          </w:tcPr>
          <w:p w:rsidR="00FD67E1" w:rsidRDefault="00EE0B9A">
            <w:pPr>
              <w:spacing w:after="0"/>
            </w:pPr>
            <w:r>
              <w:rPr>
                <w:sz w:val="16"/>
              </w:rPr>
              <w:t>Designated crisis lead under severity protocol.</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Website launch</w:t>
            </w:r>
          </w:p>
        </w:tc>
        <w:tc>
          <w:tcPr>
            <w:tcW w:w="4032" w:type="dxa"/>
            <w:shd w:val="clear" w:color="auto" w:fill="F4F7F8"/>
            <w:tcMar>
              <w:top w:w="80" w:type="dxa"/>
              <w:left w:w="100" w:type="dxa"/>
              <w:bottom w:w="80" w:type="dxa"/>
              <w:right w:w="100" w:type="dxa"/>
            </w:tcMar>
            <w:vAlign w:val="center"/>
          </w:tcPr>
          <w:p w:rsidR="00FD67E1" w:rsidRDefault="00EE0B9A">
            <w:pPr>
              <w:spacing w:after="0"/>
            </w:pPr>
            <w:r>
              <w:rPr>
                <w:sz w:val="16"/>
              </w:rPr>
              <w:t>Brand, entity owners, IT/security, privacy, analytics and legal</w:t>
            </w:r>
          </w:p>
        </w:tc>
        <w:tc>
          <w:tcPr>
            <w:tcW w:w="3312" w:type="dxa"/>
            <w:shd w:val="clear" w:color="auto" w:fill="F4F7F8"/>
            <w:tcMar>
              <w:top w:w="80" w:type="dxa"/>
              <w:left w:w="100" w:type="dxa"/>
              <w:bottom w:w="80" w:type="dxa"/>
              <w:right w:w="100" w:type="dxa"/>
            </w:tcMar>
            <w:vAlign w:val="center"/>
          </w:tcPr>
          <w:p w:rsidR="00FD67E1" w:rsidRDefault="00EE0B9A">
            <w:pPr>
              <w:spacing w:after="0"/>
            </w:pPr>
            <w:r>
              <w:rPr>
                <w:sz w:val="16"/>
              </w:rPr>
              <w:t>Group CEO or delegated launch authority.</w:t>
            </w:r>
          </w:p>
        </w:tc>
      </w:tr>
    </w:tbl>
    <w:p w:rsidR="00FD67E1" w:rsidRDefault="00FD67E1">
      <w:pPr>
        <w:spacing w:after="0"/>
      </w:pPr>
    </w:p>
    <w:p w:rsidR="00FD67E1" w:rsidRDefault="00EE0B9A">
      <w:pPr>
        <w:pStyle w:val="Heading2"/>
      </w:pPr>
      <w:r>
        <w:lastRenderedPageBreak/>
        <w:t>F3 Deliverable workflow</w:t>
      </w:r>
    </w:p>
    <w:tbl>
      <w:tblPr>
        <w:tblStyle w:val="TableGrid"/>
        <w:tblW w:w="0" w:type="auto"/>
        <w:jc w:val="center"/>
        <w:tblLook w:val="04A0" w:firstRow="1" w:lastRow="0" w:firstColumn="1" w:lastColumn="0" w:noHBand="0" w:noVBand="1"/>
      </w:tblPr>
      <w:tblGrid>
        <w:gridCol w:w="1584"/>
        <w:gridCol w:w="8064"/>
      </w:tblGrid>
      <w:tr w:rsidR="00FD67E1">
        <w:trPr>
          <w:cantSplit/>
          <w:tblHeader/>
          <w:jc w:val="center"/>
        </w:trPr>
        <w:tc>
          <w:tcPr>
            <w:tcW w:w="1584" w:type="dxa"/>
            <w:shd w:val="clear" w:color="auto" w:fill="13283F"/>
            <w:tcMar>
              <w:top w:w="80" w:type="dxa"/>
              <w:left w:w="100" w:type="dxa"/>
              <w:bottom w:w="80" w:type="dxa"/>
              <w:right w:w="100" w:type="dxa"/>
            </w:tcMar>
          </w:tcPr>
          <w:p w:rsidR="00FD67E1" w:rsidRDefault="00EE0B9A">
            <w:r>
              <w:rPr>
                <w:b/>
                <w:color w:val="FFFFFF"/>
                <w:sz w:val="16"/>
              </w:rPr>
              <w:t>Step</w:t>
            </w:r>
          </w:p>
        </w:tc>
        <w:tc>
          <w:tcPr>
            <w:tcW w:w="8064" w:type="dxa"/>
            <w:shd w:val="clear" w:color="auto" w:fill="13283F"/>
            <w:tcMar>
              <w:top w:w="80" w:type="dxa"/>
              <w:left w:w="100" w:type="dxa"/>
              <w:bottom w:w="80" w:type="dxa"/>
              <w:right w:w="100" w:type="dxa"/>
            </w:tcMar>
          </w:tcPr>
          <w:p w:rsidR="00FD67E1" w:rsidRDefault="00EE0B9A">
            <w:r>
              <w:rPr>
                <w:b/>
                <w:color w:val="FFFFFF"/>
                <w:sz w:val="16"/>
              </w:rPr>
              <w:t>Control</w:t>
            </w:r>
          </w:p>
        </w:tc>
      </w:tr>
      <w:tr w:rsidR="00FD67E1">
        <w:trPr>
          <w:cantSplit/>
          <w:jc w:val="center"/>
        </w:trPr>
        <w:tc>
          <w:tcPr>
            <w:tcW w:w="1584" w:type="dxa"/>
            <w:tcMar>
              <w:top w:w="80" w:type="dxa"/>
              <w:left w:w="100" w:type="dxa"/>
              <w:bottom w:w="80" w:type="dxa"/>
              <w:right w:w="100" w:type="dxa"/>
            </w:tcMar>
            <w:vAlign w:val="center"/>
          </w:tcPr>
          <w:p w:rsidR="00FD67E1" w:rsidRDefault="00EE0B9A">
            <w:pPr>
              <w:spacing w:after="0"/>
            </w:pPr>
            <w:r>
              <w:rPr>
                <w:sz w:val="16"/>
              </w:rPr>
              <w:t>Brief</w:t>
            </w:r>
          </w:p>
        </w:tc>
        <w:tc>
          <w:tcPr>
            <w:tcW w:w="8064" w:type="dxa"/>
            <w:tcMar>
              <w:top w:w="80" w:type="dxa"/>
              <w:left w:w="100" w:type="dxa"/>
              <w:bottom w:w="80" w:type="dxa"/>
              <w:right w:w="100" w:type="dxa"/>
            </w:tcMar>
            <w:vAlign w:val="center"/>
          </w:tcPr>
          <w:p w:rsidR="00FD67E1" w:rsidRDefault="00EE0B9A">
            <w:pPr>
              <w:spacing w:after="0"/>
            </w:pPr>
            <w:r>
              <w:rPr>
                <w:sz w:val="16"/>
              </w:rPr>
              <w:t>No work begins without an objective, audience, output, owner, evidence, timing, budget and approval route.</w:t>
            </w:r>
          </w:p>
        </w:tc>
      </w:tr>
      <w:tr w:rsidR="00FD67E1">
        <w:trPr>
          <w:cantSplit/>
          <w:jc w:val="center"/>
        </w:trPr>
        <w:tc>
          <w:tcPr>
            <w:tcW w:w="1584" w:type="dxa"/>
            <w:shd w:val="clear" w:color="auto" w:fill="F4F7F8"/>
            <w:tcMar>
              <w:top w:w="80" w:type="dxa"/>
              <w:left w:w="100" w:type="dxa"/>
              <w:bottom w:w="80" w:type="dxa"/>
              <w:right w:w="100" w:type="dxa"/>
            </w:tcMar>
            <w:vAlign w:val="center"/>
          </w:tcPr>
          <w:p w:rsidR="00FD67E1" w:rsidRDefault="00EE0B9A">
            <w:pPr>
              <w:spacing w:after="0"/>
            </w:pPr>
            <w:r>
              <w:rPr>
                <w:sz w:val="16"/>
              </w:rPr>
              <w:t>Agency development</w:t>
            </w:r>
          </w:p>
        </w:tc>
        <w:tc>
          <w:tcPr>
            <w:tcW w:w="8064" w:type="dxa"/>
            <w:shd w:val="clear" w:color="auto" w:fill="F4F7F8"/>
            <w:tcMar>
              <w:top w:w="80" w:type="dxa"/>
              <w:left w:w="100" w:type="dxa"/>
              <w:bottom w:w="80" w:type="dxa"/>
              <w:right w:w="100" w:type="dxa"/>
            </w:tcMar>
            <w:vAlign w:val="center"/>
          </w:tcPr>
          <w:p w:rsidR="00FD67E1" w:rsidRDefault="00EE0B9A">
            <w:pPr>
              <w:spacing w:after="0"/>
            </w:pPr>
            <w:r>
              <w:rPr>
                <w:sz w:val="16"/>
              </w:rPr>
              <w:t>Named senior reviewer checks strategy, facts, Arabic, English, design, rights, technical specification and accessibility before submission.</w:t>
            </w:r>
          </w:p>
        </w:tc>
      </w:tr>
      <w:tr w:rsidR="00FD67E1">
        <w:trPr>
          <w:cantSplit/>
          <w:jc w:val="center"/>
        </w:trPr>
        <w:tc>
          <w:tcPr>
            <w:tcW w:w="1584" w:type="dxa"/>
            <w:tcMar>
              <w:top w:w="80" w:type="dxa"/>
              <w:left w:w="100" w:type="dxa"/>
              <w:bottom w:w="80" w:type="dxa"/>
              <w:right w:w="100" w:type="dxa"/>
            </w:tcMar>
            <w:vAlign w:val="center"/>
          </w:tcPr>
          <w:p w:rsidR="00FD67E1" w:rsidRDefault="00EE0B9A">
            <w:pPr>
              <w:spacing w:after="0"/>
            </w:pPr>
            <w:r>
              <w:rPr>
                <w:sz w:val="16"/>
              </w:rPr>
              <w:t>Client review</w:t>
            </w:r>
          </w:p>
        </w:tc>
        <w:tc>
          <w:tcPr>
            <w:tcW w:w="8064" w:type="dxa"/>
            <w:tcMar>
              <w:top w:w="80" w:type="dxa"/>
              <w:left w:w="100" w:type="dxa"/>
              <w:bottom w:w="80" w:type="dxa"/>
              <w:right w:w="100" w:type="dxa"/>
            </w:tcMar>
            <w:vAlign w:val="center"/>
          </w:tcPr>
          <w:p w:rsidR="00FD67E1" w:rsidRDefault="00EE0B9A">
            <w:pPr>
              <w:spacing w:after="0"/>
            </w:pPr>
            <w:r>
              <w:rPr>
                <w:sz w:val="16"/>
              </w:rPr>
              <w:t>Agency submits a complete, internally consistent package; comments are consolidated by the nominated client owner.</w:t>
            </w:r>
          </w:p>
        </w:tc>
      </w:tr>
      <w:tr w:rsidR="00FD67E1">
        <w:trPr>
          <w:cantSplit/>
          <w:jc w:val="center"/>
        </w:trPr>
        <w:tc>
          <w:tcPr>
            <w:tcW w:w="1584" w:type="dxa"/>
            <w:shd w:val="clear" w:color="auto" w:fill="F4F7F8"/>
            <w:tcMar>
              <w:top w:w="80" w:type="dxa"/>
              <w:left w:w="100" w:type="dxa"/>
              <w:bottom w:w="80" w:type="dxa"/>
              <w:right w:w="100" w:type="dxa"/>
            </w:tcMar>
            <w:vAlign w:val="center"/>
          </w:tcPr>
          <w:p w:rsidR="00FD67E1" w:rsidRDefault="00EE0B9A">
            <w:pPr>
              <w:spacing w:after="0"/>
            </w:pPr>
            <w:r>
              <w:rPr>
                <w:sz w:val="16"/>
              </w:rPr>
              <w:t>Revision</w:t>
            </w:r>
          </w:p>
        </w:tc>
        <w:tc>
          <w:tcPr>
            <w:tcW w:w="8064" w:type="dxa"/>
            <w:shd w:val="clear" w:color="auto" w:fill="F4F7F8"/>
            <w:tcMar>
              <w:top w:w="80" w:type="dxa"/>
              <w:left w:w="100" w:type="dxa"/>
              <w:bottom w:w="80" w:type="dxa"/>
              <w:right w:w="100" w:type="dxa"/>
            </w:tcMar>
            <w:vAlign w:val="center"/>
          </w:tcPr>
          <w:p w:rsidR="00FD67E1" w:rsidRDefault="00EE0B9A">
            <w:pPr>
              <w:spacing w:after="0"/>
            </w:pPr>
            <w:r>
              <w:rPr>
                <w:sz w:val="16"/>
              </w:rPr>
              <w:t>Agency resolves each comment in a response log and identifies any request that changes scope, cost, risk or approved strategy.</w:t>
            </w:r>
          </w:p>
        </w:tc>
      </w:tr>
      <w:tr w:rsidR="00FD67E1">
        <w:trPr>
          <w:cantSplit/>
          <w:jc w:val="center"/>
        </w:trPr>
        <w:tc>
          <w:tcPr>
            <w:tcW w:w="1584" w:type="dxa"/>
            <w:tcMar>
              <w:top w:w="80" w:type="dxa"/>
              <w:left w:w="100" w:type="dxa"/>
              <w:bottom w:w="80" w:type="dxa"/>
              <w:right w:w="100" w:type="dxa"/>
            </w:tcMar>
            <w:vAlign w:val="center"/>
          </w:tcPr>
          <w:p w:rsidR="00FD67E1" w:rsidRDefault="00EE0B9A">
            <w:pPr>
              <w:spacing w:after="0"/>
            </w:pPr>
            <w:r>
              <w:rPr>
                <w:sz w:val="16"/>
              </w:rPr>
              <w:t>Approval</w:t>
            </w:r>
          </w:p>
        </w:tc>
        <w:tc>
          <w:tcPr>
            <w:tcW w:w="8064" w:type="dxa"/>
            <w:tcMar>
              <w:top w:w="80" w:type="dxa"/>
              <w:left w:w="100" w:type="dxa"/>
              <w:bottom w:w="80" w:type="dxa"/>
              <w:right w:w="100" w:type="dxa"/>
            </w:tcMar>
            <w:vAlign w:val="center"/>
          </w:tcPr>
          <w:p w:rsidR="00FD67E1" w:rsidRDefault="00EE0B9A">
            <w:pPr>
              <w:spacing w:after="0"/>
            </w:pPr>
            <w:r>
              <w:rPr>
                <w:sz w:val="16"/>
              </w:rPr>
              <w:t>Final version is approved in writing, locked and entered into the asset/content register.</w:t>
            </w:r>
          </w:p>
        </w:tc>
      </w:tr>
      <w:tr w:rsidR="00FD67E1">
        <w:trPr>
          <w:cantSplit/>
          <w:jc w:val="center"/>
        </w:trPr>
        <w:tc>
          <w:tcPr>
            <w:tcW w:w="1584" w:type="dxa"/>
            <w:shd w:val="clear" w:color="auto" w:fill="F4F7F8"/>
            <w:tcMar>
              <w:top w:w="80" w:type="dxa"/>
              <w:left w:w="100" w:type="dxa"/>
              <w:bottom w:w="80" w:type="dxa"/>
              <w:right w:w="100" w:type="dxa"/>
            </w:tcMar>
            <w:vAlign w:val="center"/>
          </w:tcPr>
          <w:p w:rsidR="00FD67E1" w:rsidRDefault="00EE0B9A">
            <w:pPr>
              <w:spacing w:after="0"/>
            </w:pPr>
            <w:r>
              <w:rPr>
                <w:sz w:val="16"/>
              </w:rPr>
              <w:t>Release</w:t>
            </w:r>
          </w:p>
        </w:tc>
        <w:tc>
          <w:tcPr>
            <w:tcW w:w="8064" w:type="dxa"/>
            <w:shd w:val="clear" w:color="auto" w:fill="F4F7F8"/>
            <w:tcMar>
              <w:top w:w="80" w:type="dxa"/>
              <w:left w:w="100" w:type="dxa"/>
              <w:bottom w:w="80" w:type="dxa"/>
              <w:right w:w="100" w:type="dxa"/>
            </w:tcMar>
            <w:vAlign w:val="center"/>
          </w:tcPr>
          <w:p w:rsidR="00FD67E1" w:rsidRDefault="00EE0B9A">
            <w:pPr>
              <w:spacing w:after="0"/>
            </w:pPr>
            <w:r>
              <w:rPr>
                <w:sz w:val="16"/>
              </w:rPr>
              <w:t>Only the approved file is published or produced; final links, files, costs and evidence are recorded.</w:t>
            </w:r>
          </w:p>
        </w:tc>
      </w:tr>
      <w:tr w:rsidR="00FD67E1">
        <w:trPr>
          <w:cantSplit/>
          <w:jc w:val="center"/>
        </w:trPr>
        <w:tc>
          <w:tcPr>
            <w:tcW w:w="1584" w:type="dxa"/>
            <w:tcMar>
              <w:top w:w="80" w:type="dxa"/>
              <w:left w:w="100" w:type="dxa"/>
              <w:bottom w:w="80" w:type="dxa"/>
              <w:right w:w="100" w:type="dxa"/>
            </w:tcMar>
            <w:vAlign w:val="center"/>
          </w:tcPr>
          <w:p w:rsidR="00FD67E1" w:rsidRDefault="00EE0B9A">
            <w:pPr>
              <w:spacing w:after="0"/>
            </w:pPr>
            <w:r>
              <w:rPr>
                <w:sz w:val="16"/>
              </w:rPr>
              <w:t>Post-release</w:t>
            </w:r>
          </w:p>
        </w:tc>
        <w:tc>
          <w:tcPr>
            <w:tcW w:w="8064" w:type="dxa"/>
            <w:tcMar>
              <w:top w:w="80" w:type="dxa"/>
              <w:left w:w="100" w:type="dxa"/>
              <w:bottom w:w="80" w:type="dxa"/>
              <w:right w:w="100" w:type="dxa"/>
            </w:tcMar>
            <w:vAlign w:val="center"/>
          </w:tcPr>
          <w:p w:rsidR="00FD67E1" w:rsidRDefault="00EE0B9A">
            <w:pPr>
              <w:spacing w:after="0"/>
            </w:pPr>
            <w:r>
              <w:rPr>
                <w:sz w:val="16"/>
              </w:rPr>
              <w:t>Agency monitors performance and issues, archives source/output files and reports learning or corrective action.</w:t>
            </w:r>
          </w:p>
        </w:tc>
      </w:tr>
    </w:tbl>
    <w:p w:rsidR="00FD67E1" w:rsidRDefault="00FD67E1">
      <w:pPr>
        <w:spacing w:after="0"/>
      </w:pPr>
    </w:p>
    <w:p w:rsidR="00FD67E1" w:rsidRDefault="00EE0B9A">
      <w:pPr>
        <w:pStyle w:val="Heading2"/>
      </w:pPr>
      <w:r>
        <w:t>F4 Status reporting</w:t>
      </w:r>
    </w:p>
    <w:p w:rsidR="00FD67E1" w:rsidRDefault="00EE0B9A">
      <w:pPr>
        <w:pStyle w:val="CompactBullet"/>
      </w:pPr>
      <w:r>
        <w:t>One integrated plan showing workstream, deliverable, owner, approver, dependency, planned date, current forecast, status and next decision.</w:t>
      </w:r>
    </w:p>
    <w:p w:rsidR="00FD67E1" w:rsidRDefault="00EE0B9A">
      <w:pPr>
        <w:pStyle w:val="CompactBullet"/>
      </w:pPr>
      <w:r>
        <w:t>Weekly written report during the first 16 weeks and launch periods, covering completed work, next two weeks, approvals, risks, budget and required decisions.</w:t>
      </w:r>
    </w:p>
    <w:p w:rsidR="00FD67E1" w:rsidRDefault="00EE0B9A">
      <w:pPr>
        <w:pStyle w:val="CompactBullet"/>
      </w:pPr>
      <w:r>
        <w:t>Decision log recording date, decision, authority, implications and affected deliverables.</w:t>
      </w:r>
    </w:p>
    <w:p w:rsidR="00FD67E1" w:rsidRDefault="00EE0B9A">
      <w:pPr>
        <w:pStyle w:val="CompactBullet"/>
      </w:pPr>
      <w:r>
        <w:t>Risk and issue register with probability, impact, mitigation, owner, trigger, current status and escalation date.</w:t>
      </w:r>
    </w:p>
    <w:p w:rsidR="00FD67E1" w:rsidRDefault="00EE0B9A">
      <w:pPr>
        <w:pStyle w:val="CompactBullet"/>
      </w:pPr>
      <w:r>
        <w:t>Scope and financial change log; no change is billable without written approval by the authorised commercial representative.</w:t>
      </w:r>
    </w:p>
    <w:p w:rsidR="00FD67E1" w:rsidRDefault="00EE0B9A">
      <w:pPr>
        <w:pStyle w:val="Heading2"/>
      </w:pPr>
      <w:r>
        <w:t>F5 Change control</w:t>
      </w:r>
    </w:p>
    <w:p w:rsidR="00FD67E1" w:rsidRDefault="00EE0B9A">
      <w:r>
        <w:t>A change request must describe the requested change, reason, affected assumptions, deliverables, schedule, resources, fees, third-party costs, risks and alternatives. The agency must continue unaffected work while a change is considered. Correcting agency errors, omissions against the agreed scope or non-compliant outputs is not a change request and carries no additional fee.</w:t>
      </w:r>
    </w:p>
    <w:p w:rsidR="00FD67E1" w:rsidRDefault="00EE0B9A">
      <w:r>
        <w:br w:type="page"/>
      </w:r>
    </w:p>
    <w:p w:rsidR="00FD67E1" w:rsidRDefault="00EE0B9A">
      <w:pPr>
        <w:pStyle w:val="Heading1"/>
      </w:pPr>
      <w:r>
        <w:lastRenderedPageBreak/>
        <w:t>Schedule G Commercial Response and Pricing Template</w:t>
      </w:r>
    </w:p>
    <w:p w:rsidR="00FD67E1" w:rsidRDefault="00EE0B9A">
      <w:pPr>
        <w:pStyle w:val="Heading2"/>
      </w:pPr>
      <w:r>
        <w:t>G1 Pricing principles</w:t>
      </w:r>
    </w:p>
    <w:p w:rsidR="00FD67E1" w:rsidRDefault="00EE0B9A">
      <w:pPr>
        <w:pStyle w:val="CompactBullet"/>
      </w:pPr>
      <w:r>
        <w:t>Prices must be in AED and state whether VAT is included or excluded.</w:t>
      </w:r>
    </w:p>
    <w:p w:rsidR="00FD67E1" w:rsidRDefault="00EE0B9A">
      <w:pPr>
        <w:pStyle w:val="CompactBullet"/>
      </w:pPr>
      <w:r>
        <w:t>Separate one-time strategy and creation fees, recurring retainers, production costs, media spend, third-party licences, travel and optional services.</w:t>
      </w:r>
    </w:p>
    <w:p w:rsidR="00FD67E1" w:rsidRDefault="00EE0B9A">
      <w:pPr>
        <w:pStyle w:val="CompactBullet"/>
      </w:pPr>
      <w:r>
        <w:t>Every price must state the unit, quantity, frequency, assumptions, exclusions and validity period.</w:t>
      </w:r>
    </w:p>
    <w:p w:rsidR="00FD67E1" w:rsidRDefault="00EE0B9A">
      <w:pPr>
        <w:pStyle w:val="CompactBullet"/>
      </w:pPr>
      <w:r>
        <w:t>Media spend must never be blended into agency fees. All rebates, commissions, credits, volume benefits and mark-ups must be disclosed.</w:t>
      </w:r>
    </w:p>
    <w:p w:rsidR="00FD67E1" w:rsidRDefault="00EE0B9A">
      <w:pPr>
        <w:pStyle w:val="CompactBullet"/>
      </w:pPr>
      <w:r>
        <w:t>Third-party costs may not be incurred without written approval and supporting documentation.</w:t>
      </w:r>
    </w:p>
    <w:p w:rsidR="00FD67E1" w:rsidRDefault="00EE0B9A">
      <w:pPr>
        <w:pStyle w:val="CompactBullet"/>
      </w:pPr>
      <w:r>
        <w:t>The bidder must identify any minimum commitment, automatic renewal, annual increase, cancellation charge or non-transferable licence.</w:t>
      </w:r>
    </w:p>
    <w:p w:rsidR="00FD67E1" w:rsidRDefault="00EE0B9A">
      <w:pPr>
        <w:pStyle w:val="CompactBullet"/>
      </w:pPr>
      <w:r>
        <w:t>Payment milestones must follow accepted deliverables and measurable completion, not elapsed time alone.</w:t>
      </w:r>
    </w:p>
    <w:p w:rsidR="00FD67E1" w:rsidRDefault="00EE0B9A">
      <w:pPr>
        <w:pStyle w:val="CompactBullet"/>
      </w:pPr>
      <w:r>
        <w:t>All source files, data, credentials and transferable rights are included unless an explicit, accepted exception appears in the financial proposal.</w:t>
      </w:r>
    </w:p>
    <w:p w:rsidR="00FD67E1" w:rsidRDefault="00EE0B9A">
      <w:pPr>
        <w:pStyle w:val="CompactBullet"/>
      </w:pPr>
      <w:r>
        <w:t>Provide a value-item schedule matching the technical proposal references. For each item, state Included in Base Fee or Optional, its total and recurring cost, implementation assumptions, measurable benefit, owner, licence/subscription exposure and any post-contract dependency.</w:t>
      </w:r>
    </w:p>
    <w:p w:rsidR="00FD67E1" w:rsidRDefault="00EE0B9A">
      <w:pPr>
        <w:pStyle w:val="Heading2"/>
      </w:pPr>
      <w:r>
        <w:t>G2 Package 1 pricing schedule</w:t>
      </w:r>
    </w:p>
    <w:tbl>
      <w:tblPr>
        <w:tblStyle w:val="TableGrid"/>
        <w:tblW w:w="0" w:type="auto"/>
        <w:jc w:val="center"/>
        <w:tblLook w:val="04A0" w:firstRow="1" w:lastRow="0" w:firstColumn="1" w:lastColumn="0" w:noHBand="0" w:noVBand="1"/>
      </w:tblPr>
      <w:tblGrid>
        <w:gridCol w:w="2736"/>
        <w:gridCol w:w="6912"/>
      </w:tblGrid>
      <w:tr w:rsidR="00FD67E1">
        <w:trPr>
          <w:cantSplit/>
          <w:tblHeader/>
          <w:jc w:val="center"/>
        </w:trPr>
        <w:tc>
          <w:tcPr>
            <w:tcW w:w="2736" w:type="dxa"/>
            <w:shd w:val="clear" w:color="auto" w:fill="13283F"/>
            <w:tcMar>
              <w:top w:w="80" w:type="dxa"/>
              <w:left w:w="100" w:type="dxa"/>
              <w:bottom w:w="80" w:type="dxa"/>
              <w:right w:w="100" w:type="dxa"/>
            </w:tcMar>
          </w:tcPr>
          <w:p w:rsidR="00FD67E1" w:rsidRDefault="00EE0B9A">
            <w:r>
              <w:rPr>
                <w:b/>
                <w:color w:val="FFFFFF"/>
                <w:sz w:val="16"/>
              </w:rPr>
              <w:t>Line item</w:t>
            </w:r>
          </w:p>
        </w:tc>
        <w:tc>
          <w:tcPr>
            <w:tcW w:w="6912" w:type="dxa"/>
            <w:shd w:val="clear" w:color="auto" w:fill="13283F"/>
            <w:tcMar>
              <w:top w:w="80" w:type="dxa"/>
              <w:left w:w="100" w:type="dxa"/>
              <w:bottom w:w="80" w:type="dxa"/>
              <w:right w:w="100" w:type="dxa"/>
            </w:tcMar>
          </w:tcPr>
          <w:p w:rsidR="00FD67E1" w:rsidRDefault="00EE0B9A">
            <w:r>
              <w:rPr>
                <w:b/>
                <w:color w:val="FFFFFF"/>
                <w:sz w:val="16"/>
              </w:rPr>
              <w:t>Pricing basis required</w:t>
            </w:r>
          </w:p>
        </w:tc>
      </w:tr>
      <w:tr w:rsidR="00FD67E1">
        <w:trPr>
          <w:cantSplit/>
          <w:jc w:val="center"/>
        </w:trPr>
        <w:tc>
          <w:tcPr>
            <w:tcW w:w="2736" w:type="dxa"/>
            <w:tcMar>
              <w:top w:w="80" w:type="dxa"/>
              <w:left w:w="100" w:type="dxa"/>
              <w:bottom w:w="80" w:type="dxa"/>
              <w:right w:w="100" w:type="dxa"/>
            </w:tcMar>
            <w:vAlign w:val="center"/>
          </w:tcPr>
          <w:p w:rsidR="00FD67E1" w:rsidRDefault="00EE0B9A">
            <w:pPr>
              <w:spacing w:after="0"/>
            </w:pPr>
            <w:r>
              <w:rPr>
                <w:sz w:val="16"/>
              </w:rPr>
              <w:t>Discovery and research</w:t>
            </w:r>
          </w:p>
        </w:tc>
        <w:tc>
          <w:tcPr>
            <w:tcW w:w="6912" w:type="dxa"/>
            <w:tcMar>
              <w:top w:w="80" w:type="dxa"/>
              <w:left w:w="100" w:type="dxa"/>
              <w:bottom w:w="80" w:type="dxa"/>
              <w:right w:w="100" w:type="dxa"/>
            </w:tcMar>
            <w:vAlign w:val="center"/>
          </w:tcPr>
          <w:p w:rsidR="00FD67E1" w:rsidRDefault="00EE0B9A">
            <w:pPr>
              <w:spacing w:after="0"/>
            </w:pPr>
            <w:r>
              <w:rPr>
                <w:sz w:val="16"/>
              </w:rPr>
              <w:t>Fixed fee; state interview, workshop, research and revision assumptions.</w:t>
            </w:r>
          </w:p>
        </w:tc>
      </w:tr>
      <w:tr w:rsidR="00FD67E1">
        <w:trPr>
          <w:cantSplit/>
          <w:jc w:val="center"/>
        </w:trPr>
        <w:tc>
          <w:tcPr>
            <w:tcW w:w="2736" w:type="dxa"/>
            <w:shd w:val="clear" w:color="auto" w:fill="F4F7F8"/>
            <w:tcMar>
              <w:top w:w="80" w:type="dxa"/>
              <w:left w:w="100" w:type="dxa"/>
              <w:bottom w:w="80" w:type="dxa"/>
              <w:right w:w="100" w:type="dxa"/>
            </w:tcMar>
            <w:vAlign w:val="center"/>
          </w:tcPr>
          <w:p w:rsidR="00FD67E1" w:rsidRDefault="00EE0B9A">
            <w:pPr>
              <w:spacing w:after="0"/>
            </w:pPr>
            <w:r>
              <w:rPr>
                <w:sz w:val="16"/>
              </w:rPr>
              <w:t>Brand strategy and messaging</w:t>
            </w:r>
          </w:p>
        </w:tc>
        <w:tc>
          <w:tcPr>
            <w:tcW w:w="6912" w:type="dxa"/>
            <w:shd w:val="clear" w:color="auto" w:fill="F4F7F8"/>
            <w:tcMar>
              <w:top w:w="80" w:type="dxa"/>
              <w:left w:w="100" w:type="dxa"/>
              <w:bottom w:w="80" w:type="dxa"/>
              <w:right w:w="100" w:type="dxa"/>
            </w:tcMar>
            <w:vAlign w:val="center"/>
          </w:tcPr>
          <w:p w:rsidR="00FD67E1" w:rsidRDefault="00EE0B9A">
            <w:pPr>
              <w:spacing w:after="0"/>
            </w:pPr>
            <w:r>
              <w:rPr>
                <w:sz w:val="16"/>
              </w:rPr>
              <w:t>Fixed fee by approved deliverable and language.</w:t>
            </w:r>
          </w:p>
        </w:tc>
      </w:tr>
      <w:tr w:rsidR="00FD67E1">
        <w:trPr>
          <w:cantSplit/>
          <w:jc w:val="center"/>
        </w:trPr>
        <w:tc>
          <w:tcPr>
            <w:tcW w:w="2736" w:type="dxa"/>
            <w:tcMar>
              <w:top w:w="80" w:type="dxa"/>
              <w:left w:w="100" w:type="dxa"/>
              <w:bottom w:w="80" w:type="dxa"/>
              <w:right w:w="100" w:type="dxa"/>
            </w:tcMar>
            <w:vAlign w:val="center"/>
          </w:tcPr>
          <w:p w:rsidR="00FD67E1" w:rsidRDefault="00EE0B9A">
            <w:pPr>
              <w:spacing w:after="0"/>
            </w:pPr>
            <w:r>
              <w:rPr>
                <w:sz w:val="16"/>
              </w:rPr>
              <w:t>Architecture and naming</w:t>
            </w:r>
          </w:p>
        </w:tc>
        <w:tc>
          <w:tcPr>
            <w:tcW w:w="6912" w:type="dxa"/>
            <w:tcMar>
              <w:top w:w="80" w:type="dxa"/>
              <w:left w:w="100" w:type="dxa"/>
              <w:bottom w:w="80" w:type="dxa"/>
              <w:right w:w="100" w:type="dxa"/>
            </w:tcMar>
            <w:vAlign w:val="center"/>
          </w:tcPr>
          <w:p w:rsidR="00FD67E1" w:rsidRDefault="00EE0B9A">
            <w:pPr>
              <w:spacing w:after="0"/>
            </w:pPr>
            <w:r>
              <w:rPr>
                <w:sz w:val="16"/>
              </w:rPr>
              <w:t>Fixed fee covering six entities and future-entity rules.</w:t>
            </w:r>
          </w:p>
        </w:tc>
      </w:tr>
      <w:tr w:rsidR="00FD67E1">
        <w:trPr>
          <w:cantSplit/>
          <w:jc w:val="center"/>
        </w:trPr>
        <w:tc>
          <w:tcPr>
            <w:tcW w:w="2736" w:type="dxa"/>
            <w:shd w:val="clear" w:color="auto" w:fill="F4F7F8"/>
            <w:tcMar>
              <w:top w:w="80" w:type="dxa"/>
              <w:left w:w="100" w:type="dxa"/>
              <w:bottom w:w="80" w:type="dxa"/>
              <w:right w:w="100" w:type="dxa"/>
            </w:tcMar>
            <w:vAlign w:val="center"/>
          </w:tcPr>
          <w:p w:rsidR="00FD67E1" w:rsidRDefault="00EE0B9A">
            <w:pPr>
              <w:spacing w:after="0"/>
            </w:pPr>
            <w:r>
              <w:rPr>
                <w:sz w:val="16"/>
              </w:rPr>
              <w:t>Visual identity</w:t>
            </w:r>
          </w:p>
        </w:tc>
        <w:tc>
          <w:tcPr>
            <w:tcW w:w="6912" w:type="dxa"/>
            <w:shd w:val="clear" w:color="auto" w:fill="F4F7F8"/>
            <w:tcMar>
              <w:top w:w="80" w:type="dxa"/>
              <w:left w:w="100" w:type="dxa"/>
              <w:bottom w:w="80" w:type="dxa"/>
              <w:right w:w="100" w:type="dxa"/>
            </w:tcMar>
            <w:vAlign w:val="center"/>
          </w:tcPr>
          <w:p w:rsidR="00FD67E1" w:rsidRDefault="00EE0B9A">
            <w:pPr>
              <w:spacing w:after="0"/>
            </w:pPr>
            <w:r>
              <w:rPr>
                <w:sz w:val="16"/>
              </w:rPr>
              <w:t>Fixed fee for master brand, five entity expressions, guidelines, applications and handover.</w:t>
            </w:r>
          </w:p>
        </w:tc>
      </w:tr>
      <w:tr w:rsidR="00FD67E1">
        <w:trPr>
          <w:cantSplit/>
          <w:jc w:val="center"/>
        </w:trPr>
        <w:tc>
          <w:tcPr>
            <w:tcW w:w="2736" w:type="dxa"/>
            <w:tcMar>
              <w:top w:w="80" w:type="dxa"/>
              <w:left w:w="100" w:type="dxa"/>
              <w:bottom w:w="80" w:type="dxa"/>
              <w:right w:w="100" w:type="dxa"/>
            </w:tcMar>
            <w:vAlign w:val="center"/>
          </w:tcPr>
          <w:p w:rsidR="00FD67E1" w:rsidRDefault="00EE0B9A">
            <w:pPr>
              <w:spacing w:after="0"/>
            </w:pPr>
            <w:r>
              <w:rPr>
                <w:sz w:val="16"/>
              </w:rPr>
              <w:t>Profiles and templates</w:t>
            </w:r>
          </w:p>
        </w:tc>
        <w:tc>
          <w:tcPr>
            <w:tcW w:w="6912" w:type="dxa"/>
            <w:tcMar>
              <w:top w:w="80" w:type="dxa"/>
              <w:left w:w="100" w:type="dxa"/>
              <w:bottom w:w="80" w:type="dxa"/>
              <w:right w:w="100" w:type="dxa"/>
            </w:tcMar>
            <w:vAlign w:val="center"/>
          </w:tcPr>
          <w:p w:rsidR="00FD67E1" w:rsidRDefault="00EE0B9A">
            <w:pPr>
              <w:spacing w:after="0"/>
            </w:pPr>
            <w:r>
              <w:rPr>
                <w:sz w:val="16"/>
              </w:rPr>
              <w:t>Unit and package pricing; state page counts, languages and editable formats.</w:t>
            </w:r>
          </w:p>
        </w:tc>
      </w:tr>
      <w:tr w:rsidR="00FD67E1">
        <w:trPr>
          <w:cantSplit/>
          <w:jc w:val="center"/>
        </w:trPr>
        <w:tc>
          <w:tcPr>
            <w:tcW w:w="2736" w:type="dxa"/>
            <w:shd w:val="clear" w:color="auto" w:fill="F4F7F8"/>
            <w:tcMar>
              <w:top w:w="80" w:type="dxa"/>
              <w:left w:w="100" w:type="dxa"/>
              <w:bottom w:w="80" w:type="dxa"/>
              <w:right w:w="100" w:type="dxa"/>
            </w:tcMar>
            <w:vAlign w:val="center"/>
          </w:tcPr>
          <w:p w:rsidR="00FD67E1" w:rsidRDefault="00EE0B9A">
            <w:pPr>
              <w:spacing w:after="0"/>
            </w:pPr>
            <w:r>
              <w:rPr>
                <w:sz w:val="16"/>
              </w:rPr>
              <w:t>Website strategy and UX</w:t>
            </w:r>
          </w:p>
        </w:tc>
        <w:tc>
          <w:tcPr>
            <w:tcW w:w="6912" w:type="dxa"/>
            <w:shd w:val="clear" w:color="auto" w:fill="F4F7F8"/>
            <w:tcMar>
              <w:top w:w="80" w:type="dxa"/>
              <w:left w:w="100" w:type="dxa"/>
              <w:bottom w:w="80" w:type="dxa"/>
              <w:right w:w="100" w:type="dxa"/>
            </w:tcMar>
            <w:vAlign w:val="center"/>
          </w:tcPr>
          <w:p w:rsidR="00FD67E1" w:rsidRDefault="00EE0B9A">
            <w:pPr>
              <w:spacing w:after="0"/>
            </w:pPr>
            <w:r>
              <w:rPr>
                <w:sz w:val="16"/>
              </w:rPr>
              <w:t>Fixed fee with page/template/form assumptions.</w:t>
            </w:r>
          </w:p>
        </w:tc>
      </w:tr>
      <w:tr w:rsidR="00FD67E1">
        <w:trPr>
          <w:cantSplit/>
          <w:jc w:val="center"/>
        </w:trPr>
        <w:tc>
          <w:tcPr>
            <w:tcW w:w="2736" w:type="dxa"/>
            <w:tcMar>
              <w:top w:w="80" w:type="dxa"/>
              <w:left w:w="100" w:type="dxa"/>
              <w:bottom w:w="80" w:type="dxa"/>
              <w:right w:w="100" w:type="dxa"/>
            </w:tcMar>
            <w:vAlign w:val="center"/>
          </w:tcPr>
          <w:p w:rsidR="00FD67E1" w:rsidRDefault="00EE0B9A">
            <w:pPr>
              <w:spacing w:after="0"/>
            </w:pPr>
            <w:r>
              <w:rPr>
                <w:sz w:val="16"/>
              </w:rPr>
              <w:t>Website design and development</w:t>
            </w:r>
          </w:p>
        </w:tc>
        <w:tc>
          <w:tcPr>
            <w:tcW w:w="6912" w:type="dxa"/>
            <w:tcMar>
              <w:top w:w="80" w:type="dxa"/>
              <w:left w:w="100" w:type="dxa"/>
              <w:bottom w:w="80" w:type="dxa"/>
              <w:right w:w="100" w:type="dxa"/>
            </w:tcMar>
            <w:vAlign w:val="center"/>
          </w:tcPr>
          <w:p w:rsidR="00FD67E1" w:rsidRDefault="00EE0B9A">
            <w:pPr>
              <w:spacing w:after="0"/>
            </w:pPr>
            <w:r>
              <w:rPr>
                <w:sz w:val="16"/>
              </w:rPr>
              <w:t>Fixed fee separated by design, build, content, migration, integrations, testing, launch and warranty.</w:t>
            </w:r>
          </w:p>
        </w:tc>
      </w:tr>
      <w:tr w:rsidR="00FD67E1">
        <w:trPr>
          <w:cantSplit/>
          <w:jc w:val="center"/>
        </w:trPr>
        <w:tc>
          <w:tcPr>
            <w:tcW w:w="2736" w:type="dxa"/>
            <w:shd w:val="clear" w:color="auto" w:fill="F4F7F8"/>
            <w:tcMar>
              <w:top w:w="80" w:type="dxa"/>
              <w:left w:w="100" w:type="dxa"/>
              <w:bottom w:w="80" w:type="dxa"/>
              <w:right w:w="100" w:type="dxa"/>
            </w:tcMar>
            <w:vAlign w:val="center"/>
          </w:tcPr>
          <w:p w:rsidR="00FD67E1" w:rsidRDefault="00EE0B9A">
            <w:pPr>
              <w:spacing w:after="0"/>
            </w:pPr>
            <w:r>
              <w:rPr>
                <w:sz w:val="16"/>
              </w:rPr>
              <w:t>Launch campaign and film</w:t>
            </w:r>
          </w:p>
        </w:tc>
        <w:tc>
          <w:tcPr>
            <w:tcW w:w="6912" w:type="dxa"/>
            <w:shd w:val="clear" w:color="auto" w:fill="F4F7F8"/>
            <w:tcMar>
              <w:top w:w="80" w:type="dxa"/>
              <w:left w:w="100" w:type="dxa"/>
              <w:bottom w:w="80" w:type="dxa"/>
              <w:right w:w="100" w:type="dxa"/>
            </w:tcMar>
            <w:vAlign w:val="center"/>
          </w:tcPr>
          <w:p w:rsidR="00FD67E1" w:rsidRDefault="00EE0B9A">
            <w:pPr>
              <w:spacing w:after="0"/>
            </w:pPr>
            <w:r>
              <w:rPr>
                <w:sz w:val="16"/>
              </w:rPr>
              <w:t>Itemised concept, pre-production, production, crew, equipment, talent, locations, editing, versions, music and rights.</w:t>
            </w:r>
          </w:p>
        </w:tc>
      </w:tr>
      <w:tr w:rsidR="00FD67E1">
        <w:trPr>
          <w:cantSplit/>
          <w:jc w:val="center"/>
        </w:trPr>
        <w:tc>
          <w:tcPr>
            <w:tcW w:w="2736" w:type="dxa"/>
            <w:tcMar>
              <w:top w:w="80" w:type="dxa"/>
              <w:left w:w="100" w:type="dxa"/>
              <w:bottom w:w="80" w:type="dxa"/>
              <w:right w:w="100" w:type="dxa"/>
            </w:tcMar>
            <w:vAlign w:val="center"/>
          </w:tcPr>
          <w:p w:rsidR="00FD67E1" w:rsidRDefault="00EE0B9A">
            <w:pPr>
              <w:spacing w:after="0"/>
            </w:pPr>
            <w:r>
              <w:rPr>
                <w:sz w:val="16"/>
              </w:rPr>
              <w:t>PR retainer</w:t>
            </w:r>
          </w:p>
        </w:tc>
        <w:tc>
          <w:tcPr>
            <w:tcW w:w="6912" w:type="dxa"/>
            <w:tcMar>
              <w:top w:w="80" w:type="dxa"/>
              <w:left w:w="100" w:type="dxa"/>
              <w:bottom w:w="80" w:type="dxa"/>
              <w:right w:w="100" w:type="dxa"/>
            </w:tcMar>
            <w:vAlign w:val="center"/>
          </w:tcPr>
          <w:p w:rsidR="00FD67E1" w:rsidRDefault="00EE0B9A">
            <w:pPr>
              <w:spacing w:after="0"/>
            </w:pPr>
            <w:r>
              <w:rPr>
                <w:sz w:val="16"/>
              </w:rPr>
              <w:t>Monthly fee with team hours/capacity, deliverables, monitoring tools, reporting and exclusions.</w:t>
            </w:r>
          </w:p>
        </w:tc>
      </w:tr>
      <w:tr w:rsidR="00FD67E1">
        <w:trPr>
          <w:cantSplit/>
          <w:jc w:val="center"/>
        </w:trPr>
        <w:tc>
          <w:tcPr>
            <w:tcW w:w="2736" w:type="dxa"/>
            <w:shd w:val="clear" w:color="auto" w:fill="F4F7F8"/>
            <w:tcMar>
              <w:top w:w="80" w:type="dxa"/>
              <w:left w:w="100" w:type="dxa"/>
              <w:bottom w:w="80" w:type="dxa"/>
              <w:right w:w="100" w:type="dxa"/>
            </w:tcMar>
            <w:vAlign w:val="center"/>
          </w:tcPr>
          <w:p w:rsidR="00FD67E1" w:rsidRDefault="00EE0B9A">
            <w:pPr>
              <w:spacing w:after="0"/>
            </w:pPr>
            <w:r>
              <w:rPr>
                <w:sz w:val="16"/>
              </w:rPr>
              <w:t>Campaign production</w:t>
            </w:r>
          </w:p>
        </w:tc>
        <w:tc>
          <w:tcPr>
            <w:tcW w:w="6912" w:type="dxa"/>
            <w:shd w:val="clear" w:color="auto" w:fill="F4F7F8"/>
            <w:tcMar>
              <w:top w:w="80" w:type="dxa"/>
              <w:left w:w="100" w:type="dxa"/>
              <w:bottom w:w="80" w:type="dxa"/>
              <w:right w:w="100" w:type="dxa"/>
            </w:tcMar>
            <w:vAlign w:val="center"/>
          </w:tcPr>
          <w:p w:rsidR="00FD67E1" w:rsidRDefault="00EE0B9A">
            <w:pPr>
              <w:spacing w:after="0"/>
            </w:pPr>
            <w:r>
              <w:rPr>
                <w:sz w:val="16"/>
              </w:rPr>
              <w:t>Unit rate card plus priced assumptions for the three thematic campaigns.</w:t>
            </w:r>
          </w:p>
        </w:tc>
      </w:tr>
      <w:tr w:rsidR="00FD67E1">
        <w:trPr>
          <w:cantSplit/>
          <w:jc w:val="center"/>
        </w:trPr>
        <w:tc>
          <w:tcPr>
            <w:tcW w:w="2736" w:type="dxa"/>
            <w:tcMar>
              <w:top w:w="80" w:type="dxa"/>
              <w:left w:w="100" w:type="dxa"/>
              <w:bottom w:w="80" w:type="dxa"/>
              <w:right w:w="100" w:type="dxa"/>
            </w:tcMar>
            <w:vAlign w:val="center"/>
          </w:tcPr>
          <w:p w:rsidR="00FD67E1" w:rsidRDefault="00EE0B9A">
            <w:pPr>
              <w:spacing w:after="0"/>
            </w:pPr>
            <w:r>
              <w:rPr>
                <w:sz w:val="16"/>
              </w:rPr>
              <w:t>Training and handover</w:t>
            </w:r>
          </w:p>
        </w:tc>
        <w:tc>
          <w:tcPr>
            <w:tcW w:w="6912" w:type="dxa"/>
            <w:tcMar>
              <w:top w:w="80" w:type="dxa"/>
              <w:left w:w="100" w:type="dxa"/>
              <w:bottom w:w="80" w:type="dxa"/>
              <w:right w:w="100" w:type="dxa"/>
            </w:tcMar>
            <w:vAlign w:val="center"/>
          </w:tcPr>
          <w:p w:rsidR="00FD67E1" w:rsidRDefault="00EE0B9A">
            <w:pPr>
              <w:spacing w:after="0"/>
            </w:pPr>
            <w:r>
              <w:rPr>
                <w:sz w:val="16"/>
              </w:rPr>
              <w:t>Included scope and any optional extended support.</w:t>
            </w:r>
          </w:p>
        </w:tc>
      </w:tr>
    </w:tbl>
    <w:p w:rsidR="00FD67E1" w:rsidRDefault="00FD67E1">
      <w:pPr>
        <w:spacing w:after="0"/>
      </w:pPr>
    </w:p>
    <w:p w:rsidR="00FD67E1" w:rsidRDefault="00EE0B9A">
      <w:pPr>
        <w:pStyle w:val="Heading2"/>
      </w:pPr>
      <w:r>
        <w:t>G3 Optional Package 2 pricing schedule</w:t>
      </w:r>
    </w:p>
    <w:p w:rsidR="00FD67E1" w:rsidRDefault="00EE0B9A">
      <w:r>
        <w:t>Package 2 pricing must be fully separable from Package 1. No discount, bundled dependency or cross-package allocation may obscure the standalone cost of either appointment.</w:t>
      </w:r>
    </w:p>
    <w:tbl>
      <w:tblPr>
        <w:tblStyle w:val="TableGrid"/>
        <w:tblW w:w="0" w:type="auto"/>
        <w:jc w:val="center"/>
        <w:tblLook w:val="04A0" w:firstRow="1" w:lastRow="0" w:firstColumn="1" w:lastColumn="0" w:noHBand="0" w:noVBand="1"/>
      </w:tblPr>
      <w:tblGrid>
        <w:gridCol w:w="2592"/>
        <w:gridCol w:w="7056"/>
      </w:tblGrid>
      <w:tr w:rsidR="00FD67E1">
        <w:trPr>
          <w:cantSplit/>
          <w:tblHeader/>
          <w:jc w:val="center"/>
        </w:trPr>
        <w:tc>
          <w:tcPr>
            <w:tcW w:w="2592" w:type="dxa"/>
            <w:shd w:val="clear" w:color="auto" w:fill="13283F"/>
            <w:tcMar>
              <w:top w:w="80" w:type="dxa"/>
              <w:left w:w="100" w:type="dxa"/>
              <w:bottom w:w="80" w:type="dxa"/>
              <w:right w:w="100" w:type="dxa"/>
            </w:tcMar>
          </w:tcPr>
          <w:p w:rsidR="00FD67E1" w:rsidRDefault="00EE0B9A">
            <w:r>
              <w:rPr>
                <w:b/>
                <w:color w:val="FFFFFF"/>
                <w:sz w:val="16"/>
              </w:rPr>
              <w:t>Line item</w:t>
            </w:r>
          </w:p>
        </w:tc>
        <w:tc>
          <w:tcPr>
            <w:tcW w:w="7056" w:type="dxa"/>
            <w:shd w:val="clear" w:color="auto" w:fill="13283F"/>
            <w:tcMar>
              <w:top w:w="80" w:type="dxa"/>
              <w:left w:w="100" w:type="dxa"/>
              <w:bottom w:w="80" w:type="dxa"/>
              <w:right w:w="100" w:type="dxa"/>
            </w:tcMar>
          </w:tcPr>
          <w:p w:rsidR="00FD67E1" w:rsidRDefault="00EE0B9A">
            <w:r>
              <w:rPr>
                <w:b/>
                <w:color w:val="FFFFFF"/>
                <w:sz w:val="16"/>
              </w:rPr>
              <w:t>Pricing basis required</w:t>
            </w:r>
          </w:p>
        </w:tc>
      </w:tr>
      <w:tr w:rsidR="00FD67E1">
        <w:trPr>
          <w:cantSplit/>
          <w:jc w:val="center"/>
        </w:trPr>
        <w:tc>
          <w:tcPr>
            <w:tcW w:w="2592" w:type="dxa"/>
            <w:tcMar>
              <w:top w:w="80" w:type="dxa"/>
              <w:left w:w="100" w:type="dxa"/>
              <w:bottom w:w="80" w:type="dxa"/>
              <w:right w:w="100" w:type="dxa"/>
            </w:tcMar>
            <w:vAlign w:val="center"/>
          </w:tcPr>
          <w:p w:rsidR="00FD67E1" w:rsidRDefault="00EE0B9A">
            <w:pPr>
              <w:spacing w:after="0"/>
            </w:pPr>
            <w:r>
              <w:rPr>
                <w:sz w:val="16"/>
              </w:rPr>
              <w:t>Strategy and mobilisation</w:t>
            </w:r>
          </w:p>
        </w:tc>
        <w:tc>
          <w:tcPr>
            <w:tcW w:w="7056" w:type="dxa"/>
            <w:tcMar>
              <w:top w:w="80" w:type="dxa"/>
              <w:left w:w="100" w:type="dxa"/>
              <w:bottom w:w="80" w:type="dxa"/>
              <w:right w:w="100" w:type="dxa"/>
            </w:tcMar>
            <w:vAlign w:val="center"/>
          </w:tcPr>
          <w:p w:rsidR="00FD67E1" w:rsidRDefault="00EE0B9A">
            <w:pPr>
              <w:spacing w:after="0"/>
            </w:pPr>
            <w:r>
              <w:rPr>
                <w:sz w:val="16"/>
              </w:rPr>
              <w:t>One-time fixed fee.</w:t>
            </w:r>
          </w:p>
        </w:tc>
      </w:tr>
      <w:tr w:rsidR="00FD67E1">
        <w:trPr>
          <w:cantSplit/>
          <w:jc w:val="center"/>
        </w:trPr>
        <w:tc>
          <w:tcPr>
            <w:tcW w:w="2592" w:type="dxa"/>
            <w:shd w:val="clear" w:color="auto" w:fill="F4F7F8"/>
            <w:tcMar>
              <w:top w:w="80" w:type="dxa"/>
              <w:left w:w="100" w:type="dxa"/>
              <w:bottom w:w="80" w:type="dxa"/>
              <w:right w:w="100" w:type="dxa"/>
            </w:tcMar>
            <w:vAlign w:val="center"/>
          </w:tcPr>
          <w:p w:rsidR="00FD67E1" w:rsidRDefault="00EE0B9A">
            <w:pPr>
              <w:spacing w:after="0"/>
            </w:pPr>
            <w:r>
              <w:rPr>
                <w:sz w:val="16"/>
              </w:rPr>
              <w:t>Scenario A flexible volume</w:t>
            </w:r>
          </w:p>
        </w:tc>
        <w:tc>
          <w:tcPr>
            <w:tcW w:w="7056" w:type="dxa"/>
            <w:shd w:val="clear" w:color="auto" w:fill="F4F7F8"/>
            <w:tcMar>
              <w:top w:w="80" w:type="dxa"/>
              <w:left w:w="100" w:type="dxa"/>
              <w:bottom w:w="80" w:type="dxa"/>
              <w:right w:w="100" w:type="dxa"/>
            </w:tcMar>
            <w:vAlign w:val="center"/>
          </w:tcPr>
          <w:p w:rsidR="00FD67E1" w:rsidRDefault="00EE0B9A">
            <w:pPr>
              <w:spacing w:after="0"/>
            </w:pPr>
            <w:r>
              <w:rPr>
                <w:sz w:val="16"/>
              </w:rPr>
              <w:t>Monthly fee; define capacity, fair-use limits, production resources and response levels.</w:t>
            </w:r>
          </w:p>
        </w:tc>
      </w:tr>
      <w:tr w:rsidR="00FD67E1">
        <w:trPr>
          <w:cantSplit/>
          <w:jc w:val="center"/>
        </w:trPr>
        <w:tc>
          <w:tcPr>
            <w:tcW w:w="2592" w:type="dxa"/>
            <w:tcMar>
              <w:top w:w="80" w:type="dxa"/>
              <w:left w:w="100" w:type="dxa"/>
              <w:bottom w:w="80" w:type="dxa"/>
              <w:right w:w="100" w:type="dxa"/>
            </w:tcMar>
            <w:vAlign w:val="center"/>
          </w:tcPr>
          <w:p w:rsidR="00FD67E1" w:rsidRDefault="00EE0B9A">
            <w:pPr>
              <w:spacing w:after="0"/>
            </w:pPr>
            <w:r>
              <w:rPr>
                <w:sz w:val="16"/>
              </w:rPr>
              <w:t>Scenario B defined volume</w:t>
            </w:r>
          </w:p>
        </w:tc>
        <w:tc>
          <w:tcPr>
            <w:tcW w:w="7056" w:type="dxa"/>
            <w:tcMar>
              <w:top w:w="80" w:type="dxa"/>
              <w:left w:w="100" w:type="dxa"/>
              <w:bottom w:w="80" w:type="dxa"/>
              <w:right w:w="100" w:type="dxa"/>
            </w:tcMar>
            <w:vAlign w:val="center"/>
          </w:tcPr>
          <w:p w:rsidR="00FD67E1" w:rsidRDefault="00EE0B9A">
            <w:pPr>
              <w:spacing w:after="0"/>
            </w:pPr>
            <w:r>
              <w:rPr>
                <w:sz w:val="16"/>
              </w:rPr>
              <w:t>Monthly fee; quantify each format by entity and channel.</w:t>
            </w:r>
          </w:p>
        </w:tc>
      </w:tr>
      <w:tr w:rsidR="00FD67E1">
        <w:trPr>
          <w:cantSplit/>
          <w:jc w:val="center"/>
        </w:trPr>
        <w:tc>
          <w:tcPr>
            <w:tcW w:w="2592" w:type="dxa"/>
            <w:shd w:val="clear" w:color="auto" w:fill="F4F7F8"/>
            <w:tcMar>
              <w:top w:w="80" w:type="dxa"/>
              <w:left w:w="100" w:type="dxa"/>
              <w:bottom w:w="80" w:type="dxa"/>
              <w:right w:w="100" w:type="dxa"/>
            </w:tcMar>
            <w:vAlign w:val="center"/>
          </w:tcPr>
          <w:p w:rsidR="00FD67E1" w:rsidRDefault="00EE0B9A">
            <w:pPr>
              <w:spacing w:after="0"/>
            </w:pPr>
            <w:r>
              <w:rPr>
                <w:sz w:val="16"/>
              </w:rPr>
              <w:t>Community management</w:t>
            </w:r>
          </w:p>
        </w:tc>
        <w:tc>
          <w:tcPr>
            <w:tcW w:w="7056" w:type="dxa"/>
            <w:shd w:val="clear" w:color="auto" w:fill="F4F7F8"/>
            <w:tcMar>
              <w:top w:w="80" w:type="dxa"/>
              <w:left w:w="100" w:type="dxa"/>
              <w:bottom w:w="80" w:type="dxa"/>
              <w:right w:w="100" w:type="dxa"/>
            </w:tcMar>
            <w:vAlign w:val="center"/>
          </w:tcPr>
          <w:p w:rsidR="00FD67E1" w:rsidRDefault="00EE0B9A">
            <w:pPr>
              <w:spacing w:after="0"/>
            </w:pPr>
            <w:r>
              <w:rPr>
                <w:sz w:val="16"/>
              </w:rPr>
              <w:t>Hours, languages, service windows, platforms and escalation coverage.</w:t>
            </w:r>
          </w:p>
        </w:tc>
      </w:tr>
      <w:tr w:rsidR="00FD67E1">
        <w:trPr>
          <w:cantSplit/>
          <w:jc w:val="center"/>
        </w:trPr>
        <w:tc>
          <w:tcPr>
            <w:tcW w:w="2592" w:type="dxa"/>
            <w:tcMar>
              <w:top w:w="80" w:type="dxa"/>
              <w:left w:w="100" w:type="dxa"/>
              <w:bottom w:w="80" w:type="dxa"/>
              <w:right w:w="100" w:type="dxa"/>
            </w:tcMar>
            <w:vAlign w:val="center"/>
          </w:tcPr>
          <w:p w:rsidR="00FD67E1" w:rsidRDefault="00EE0B9A">
            <w:pPr>
              <w:spacing w:after="0"/>
            </w:pPr>
            <w:r>
              <w:rPr>
                <w:sz w:val="16"/>
              </w:rPr>
              <w:lastRenderedPageBreak/>
              <w:t>Production days</w:t>
            </w:r>
          </w:p>
        </w:tc>
        <w:tc>
          <w:tcPr>
            <w:tcW w:w="7056" w:type="dxa"/>
            <w:tcMar>
              <w:top w:w="80" w:type="dxa"/>
              <w:left w:w="100" w:type="dxa"/>
              <w:bottom w:w="80" w:type="dxa"/>
              <w:right w:w="100" w:type="dxa"/>
            </w:tcMar>
            <w:vAlign w:val="center"/>
          </w:tcPr>
          <w:p w:rsidR="00FD67E1" w:rsidRDefault="00EE0B9A">
            <w:pPr>
              <w:spacing w:after="0"/>
            </w:pPr>
            <w:r>
              <w:rPr>
                <w:sz w:val="16"/>
              </w:rPr>
              <w:t>Day rate and included crew, equipment, outputs, locations, editing and transport.</w:t>
            </w:r>
          </w:p>
        </w:tc>
      </w:tr>
      <w:tr w:rsidR="00FD67E1">
        <w:trPr>
          <w:cantSplit/>
          <w:jc w:val="center"/>
        </w:trPr>
        <w:tc>
          <w:tcPr>
            <w:tcW w:w="2592" w:type="dxa"/>
            <w:shd w:val="clear" w:color="auto" w:fill="F4F7F8"/>
            <w:tcMar>
              <w:top w:w="80" w:type="dxa"/>
              <w:left w:w="100" w:type="dxa"/>
              <w:bottom w:w="80" w:type="dxa"/>
              <w:right w:w="100" w:type="dxa"/>
            </w:tcMar>
            <w:vAlign w:val="center"/>
          </w:tcPr>
          <w:p w:rsidR="00FD67E1" w:rsidRDefault="00EE0B9A">
            <w:pPr>
              <w:spacing w:after="0"/>
            </w:pPr>
            <w:r>
              <w:rPr>
                <w:sz w:val="16"/>
              </w:rPr>
              <w:t>Event coverage</w:t>
            </w:r>
          </w:p>
        </w:tc>
        <w:tc>
          <w:tcPr>
            <w:tcW w:w="7056" w:type="dxa"/>
            <w:shd w:val="clear" w:color="auto" w:fill="F4F7F8"/>
            <w:tcMar>
              <w:top w:w="80" w:type="dxa"/>
              <w:left w:w="100" w:type="dxa"/>
              <w:bottom w:w="80" w:type="dxa"/>
              <w:right w:w="100" w:type="dxa"/>
            </w:tcMar>
            <w:vAlign w:val="center"/>
          </w:tcPr>
          <w:p w:rsidR="00FD67E1" w:rsidRDefault="00EE0B9A">
            <w:pPr>
              <w:spacing w:after="0"/>
            </w:pPr>
            <w:r>
              <w:rPr>
                <w:sz w:val="16"/>
              </w:rPr>
              <w:t>Hourly/half-day/full-day rates; weekday, weekend and public-holiday treatment.</w:t>
            </w:r>
          </w:p>
        </w:tc>
      </w:tr>
      <w:tr w:rsidR="00FD67E1">
        <w:trPr>
          <w:cantSplit/>
          <w:jc w:val="center"/>
        </w:trPr>
        <w:tc>
          <w:tcPr>
            <w:tcW w:w="2592" w:type="dxa"/>
            <w:tcMar>
              <w:top w:w="80" w:type="dxa"/>
              <w:left w:w="100" w:type="dxa"/>
              <w:bottom w:w="80" w:type="dxa"/>
              <w:right w:w="100" w:type="dxa"/>
            </w:tcMar>
            <w:vAlign w:val="center"/>
          </w:tcPr>
          <w:p w:rsidR="00FD67E1" w:rsidRDefault="00EE0B9A">
            <w:pPr>
              <w:spacing w:after="0"/>
            </w:pPr>
            <w:r>
              <w:rPr>
                <w:sz w:val="16"/>
              </w:rPr>
              <w:t>Paid media management</w:t>
            </w:r>
          </w:p>
        </w:tc>
        <w:tc>
          <w:tcPr>
            <w:tcW w:w="7056" w:type="dxa"/>
            <w:tcMar>
              <w:top w:w="80" w:type="dxa"/>
              <w:left w:w="100" w:type="dxa"/>
              <w:bottom w:w="80" w:type="dxa"/>
              <w:right w:w="100" w:type="dxa"/>
            </w:tcMar>
            <w:vAlign w:val="center"/>
          </w:tcPr>
          <w:p w:rsidR="00FD67E1" w:rsidRDefault="00EE0B9A">
            <w:pPr>
              <w:spacing w:after="0"/>
            </w:pPr>
            <w:r>
              <w:rPr>
                <w:sz w:val="16"/>
              </w:rPr>
              <w:t>Fee model, minimum/maximum, platforms, optimisation and reporting; media spend separate.</w:t>
            </w:r>
          </w:p>
        </w:tc>
      </w:tr>
      <w:tr w:rsidR="00FD67E1">
        <w:trPr>
          <w:cantSplit/>
          <w:jc w:val="center"/>
        </w:trPr>
        <w:tc>
          <w:tcPr>
            <w:tcW w:w="2592" w:type="dxa"/>
            <w:shd w:val="clear" w:color="auto" w:fill="F4F7F8"/>
            <w:tcMar>
              <w:top w:w="80" w:type="dxa"/>
              <w:left w:w="100" w:type="dxa"/>
              <w:bottom w:w="80" w:type="dxa"/>
              <w:right w:w="100" w:type="dxa"/>
            </w:tcMar>
            <w:vAlign w:val="center"/>
          </w:tcPr>
          <w:p w:rsidR="00FD67E1" w:rsidRDefault="00EE0B9A">
            <w:pPr>
              <w:spacing w:after="0"/>
            </w:pPr>
            <w:r>
              <w:rPr>
                <w:sz w:val="16"/>
              </w:rPr>
              <w:t>Influencer/KOL</w:t>
            </w:r>
          </w:p>
        </w:tc>
        <w:tc>
          <w:tcPr>
            <w:tcW w:w="7056" w:type="dxa"/>
            <w:shd w:val="clear" w:color="auto" w:fill="F4F7F8"/>
            <w:tcMar>
              <w:top w:w="80" w:type="dxa"/>
              <w:left w:w="100" w:type="dxa"/>
              <w:bottom w:w="80" w:type="dxa"/>
              <w:right w:w="100" w:type="dxa"/>
            </w:tcMar>
            <w:vAlign w:val="center"/>
          </w:tcPr>
          <w:p w:rsidR="00FD67E1" w:rsidRDefault="00EE0B9A">
            <w:pPr>
              <w:spacing w:after="0"/>
            </w:pPr>
            <w:r>
              <w:rPr>
                <w:sz w:val="16"/>
              </w:rPr>
              <w:t>Sourcing/management fee separated from talent fee; due-diligence and rights assumptions.</w:t>
            </w:r>
          </w:p>
        </w:tc>
      </w:tr>
      <w:tr w:rsidR="00FD67E1">
        <w:trPr>
          <w:cantSplit/>
          <w:jc w:val="center"/>
        </w:trPr>
        <w:tc>
          <w:tcPr>
            <w:tcW w:w="2592" w:type="dxa"/>
            <w:tcMar>
              <w:top w:w="80" w:type="dxa"/>
              <w:left w:w="100" w:type="dxa"/>
              <w:bottom w:w="80" w:type="dxa"/>
              <w:right w:w="100" w:type="dxa"/>
            </w:tcMar>
            <w:vAlign w:val="center"/>
          </w:tcPr>
          <w:p w:rsidR="00FD67E1" w:rsidRDefault="00EE0B9A">
            <w:pPr>
              <w:spacing w:after="0"/>
            </w:pPr>
            <w:r>
              <w:rPr>
                <w:sz w:val="16"/>
              </w:rPr>
              <w:t>Additional content</w:t>
            </w:r>
          </w:p>
        </w:tc>
        <w:tc>
          <w:tcPr>
            <w:tcW w:w="7056" w:type="dxa"/>
            <w:tcMar>
              <w:top w:w="80" w:type="dxa"/>
              <w:left w:w="100" w:type="dxa"/>
              <w:bottom w:w="80" w:type="dxa"/>
              <w:right w:w="100" w:type="dxa"/>
            </w:tcMar>
            <w:vAlign w:val="center"/>
          </w:tcPr>
          <w:p w:rsidR="00FD67E1" w:rsidRDefault="00EE0B9A">
            <w:pPr>
              <w:spacing w:after="0"/>
            </w:pPr>
            <w:r>
              <w:rPr>
                <w:sz w:val="16"/>
              </w:rPr>
              <w:t>Unit rate by static, carousel, infographic, reel, animation, interview, long-form video, copy and translation.</w:t>
            </w:r>
          </w:p>
        </w:tc>
      </w:tr>
      <w:tr w:rsidR="00FD67E1">
        <w:trPr>
          <w:cantSplit/>
          <w:jc w:val="center"/>
        </w:trPr>
        <w:tc>
          <w:tcPr>
            <w:tcW w:w="2592" w:type="dxa"/>
            <w:shd w:val="clear" w:color="auto" w:fill="F4F7F8"/>
            <w:tcMar>
              <w:top w:w="80" w:type="dxa"/>
              <w:left w:w="100" w:type="dxa"/>
              <w:bottom w:w="80" w:type="dxa"/>
              <w:right w:w="100" w:type="dxa"/>
            </w:tcMar>
            <w:vAlign w:val="center"/>
          </w:tcPr>
          <w:p w:rsidR="00FD67E1" w:rsidRDefault="00EE0B9A">
            <w:pPr>
              <w:spacing w:after="0"/>
            </w:pPr>
            <w:r>
              <w:rPr>
                <w:sz w:val="16"/>
              </w:rPr>
              <w:t>Transition and archive</w:t>
            </w:r>
          </w:p>
        </w:tc>
        <w:tc>
          <w:tcPr>
            <w:tcW w:w="7056" w:type="dxa"/>
            <w:shd w:val="clear" w:color="auto" w:fill="F4F7F8"/>
            <w:tcMar>
              <w:top w:w="80" w:type="dxa"/>
              <w:left w:w="100" w:type="dxa"/>
              <w:bottom w:w="80" w:type="dxa"/>
              <w:right w:w="100" w:type="dxa"/>
            </w:tcMar>
            <w:vAlign w:val="center"/>
          </w:tcPr>
          <w:p w:rsidR="00FD67E1" w:rsidRDefault="00EE0B9A">
            <w:pPr>
              <w:spacing w:after="0"/>
            </w:pPr>
            <w:r>
              <w:rPr>
                <w:sz w:val="16"/>
              </w:rPr>
              <w:t>Included monthly handover and final transition obligations.</w:t>
            </w:r>
          </w:p>
        </w:tc>
      </w:tr>
    </w:tbl>
    <w:p w:rsidR="00FD67E1" w:rsidRDefault="00FD67E1">
      <w:pPr>
        <w:spacing w:after="0"/>
      </w:pPr>
    </w:p>
    <w:p w:rsidR="00FD67E1" w:rsidRDefault="00EE0B9A">
      <w:pPr>
        <w:pStyle w:val="Heading2"/>
      </w:pPr>
      <w:r>
        <w:t>G4 Rate card requirements</w:t>
      </w:r>
    </w:p>
    <w:p w:rsidR="00FD67E1" w:rsidRDefault="00EE0B9A">
      <w:r>
        <w:t>The financial proposal must include a rate card valid for the contract period covering strategy, senior consultancy, account management, Arabic copywriting, English copywriting, translation, design, motion, editing, photography, videography, production crew, web development, UX, SEO, analytics, community management, media relations, media training and crisis support. Rates must identify whether they are hourly, daily or unit-based and may only be used after written authorisation.</w:t>
      </w:r>
    </w:p>
    <w:p w:rsidR="00FD67E1" w:rsidRDefault="00EE0B9A">
      <w:pPr>
        <w:pStyle w:val="Heading2"/>
      </w:pPr>
      <w:r>
        <w:t>G5 Recommended payment gates</w:t>
      </w:r>
    </w:p>
    <w:tbl>
      <w:tblPr>
        <w:tblStyle w:val="TableGrid"/>
        <w:tblW w:w="0" w:type="auto"/>
        <w:jc w:val="center"/>
        <w:tblLook w:val="04A0" w:firstRow="1" w:lastRow="0" w:firstColumn="1" w:lastColumn="0" w:noHBand="0" w:noVBand="1"/>
      </w:tblPr>
      <w:tblGrid>
        <w:gridCol w:w="2304"/>
        <w:gridCol w:w="7344"/>
      </w:tblGrid>
      <w:tr w:rsidR="00FD67E1">
        <w:trPr>
          <w:cantSplit/>
          <w:tblHeader/>
          <w:jc w:val="center"/>
        </w:trPr>
        <w:tc>
          <w:tcPr>
            <w:tcW w:w="2304" w:type="dxa"/>
            <w:shd w:val="clear" w:color="auto" w:fill="13283F"/>
            <w:tcMar>
              <w:top w:w="80" w:type="dxa"/>
              <w:left w:w="100" w:type="dxa"/>
              <w:bottom w:w="80" w:type="dxa"/>
              <w:right w:w="100" w:type="dxa"/>
            </w:tcMar>
          </w:tcPr>
          <w:p w:rsidR="00FD67E1" w:rsidRDefault="00EE0B9A">
            <w:r>
              <w:rPr>
                <w:b/>
                <w:color w:val="FFFFFF"/>
                <w:sz w:val="16"/>
              </w:rPr>
              <w:t>Gate</w:t>
            </w:r>
          </w:p>
        </w:tc>
        <w:tc>
          <w:tcPr>
            <w:tcW w:w="7344" w:type="dxa"/>
            <w:shd w:val="clear" w:color="auto" w:fill="13283F"/>
            <w:tcMar>
              <w:top w:w="80" w:type="dxa"/>
              <w:left w:w="100" w:type="dxa"/>
              <w:bottom w:w="80" w:type="dxa"/>
              <w:right w:w="100" w:type="dxa"/>
            </w:tcMar>
          </w:tcPr>
          <w:p w:rsidR="00FD67E1" w:rsidRDefault="00EE0B9A">
            <w:r>
              <w:rPr>
                <w:b/>
                <w:color w:val="FFFFFF"/>
                <w:sz w:val="16"/>
              </w:rPr>
              <w:t>Evidence before invoicing</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Mobilisation</w:t>
            </w:r>
          </w:p>
        </w:tc>
        <w:tc>
          <w:tcPr>
            <w:tcW w:w="7344" w:type="dxa"/>
            <w:tcMar>
              <w:top w:w="80" w:type="dxa"/>
              <w:left w:w="100" w:type="dxa"/>
              <w:bottom w:w="80" w:type="dxa"/>
              <w:right w:w="100" w:type="dxa"/>
            </w:tcMar>
            <w:vAlign w:val="center"/>
          </w:tcPr>
          <w:p w:rsidR="00FD67E1" w:rsidRDefault="00EE0B9A">
            <w:pPr>
              <w:spacing w:after="0"/>
            </w:pPr>
            <w:r>
              <w:rPr>
                <w:sz w:val="16"/>
              </w:rPr>
              <w:t>Approved project plan, governance, interview schedule, access register and risk log.</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Strategy</w:t>
            </w:r>
          </w:p>
        </w:tc>
        <w:tc>
          <w:tcPr>
            <w:tcW w:w="7344" w:type="dxa"/>
            <w:shd w:val="clear" w:color="auto" w:fill="F4F7F8"/>
            <w:tcMar>
              <w:top w:w="80" w:type="dxa"/>
              <w:left w:w="100" w:type="dxa"/>
              <w:bottom w:w="80" w:type="dxa"/>
              <w:right w:w="100" w:type="dxa"/>
            </w:tcMar>
            <w:vAlign w:val="center"/>
          </w:tcPr>
          <w:p w:rsidR="00FD67E1" w:rsidRDefault="00EE0B9A">
            <w:pPr>
              <w:spacing w:after="0"/>
            </w:pPr>
            <w:r>
              <w:rPr>
                <w:sz w:val="16"/>
              </w:rPr>
              <w:t>Approved brand strategy, messaging and architecture.</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Identity</w:t>
            </w:r>
          </w:p>
        </w:tc>
        <w:tc>
          <w:tcPr>
            <w:tcW w:w="7344" w:type="dxa"/>
            <w:tcMar>
              <w:top w:w="80" w:type="dxa"/>
              <w:left w:w="100" w:type="dxa"/>
              <w:bottom w:w="80" w:type="dxa"/>
              <w:right w:w="100" w:type="dxa"/>
            </w:tcMar>
            <w:vAlign w:val="center"/>
          </w:tcPr>
          <w:p w:rsidR="00FD67E1" w:rsidRDefault="00EE0B9A">
            <w:pPr>
              <w:spacing w:after="0"/>
            </w:pPr>
            <w:r>
              <w:rPr>
                <w:sz w:val="16"/>
              </w:rPr>
              <w:t>Approved master system, entity system and application direction.</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Handover</w:t>
            </w:r>
          </w:p>
        </w:tc>
        <w:tc>
          <w:tcPr>
            <w:tcW w:w="7344" w:type="dxa"/>
            <w:shd w:val="clear" w:color="auto" w:fill="F4F7F8"/>
            <w:tcMar>
              <w:top w:w="80" w:type="dxa"/>
              <w:left w:w="100" w:type="dxa"/>
              <w:bottom w:w="80" w:type="dxa"/>
              <w:right w:w="100" w:type="dxa"/>
            </w:tcMar>
            <w:vAlign w:val="center"/>
          </w:tcPr>
          <w:p w:rsidR="00FD67E1" w:rsidRDefault="00EE0B9A">
            <w:pPr>
              <w:spacing w:after="0"/>
            </w:pPr>
            <w:r>
              <w:rPr>
                <w:sz w:val="16"/>
              </w:rPr>
              <w:t>Complete guidelines, source files, licences, training and asset register.</w:t>
            </w:r>
          </w:p>
        </w:tc>
      </w:tr>
      <w:tr w:rsidR="00FD67E1">
        <w:trPr>
          <w:cantSplit/>
          <w:jc w:val="center"/>
        </w:trPr>
        <w:tc>
          <w:tcPr>
            <w:tcW w:w="2304" w:type="dxa"/>
            <w:tcMar>
              <w:top w:w="80" w:type="dxa"/>
              <w:left w:w="100" w:type="dxa"/>
              <w:bottom w:w="80" w:type="dxa"/>
              <w:right w:w="100" w:type="dxa"/>
            </w:tcMar>
            <w:vAlign w:val="center"/>
          </w:tcPr>
          <w:p w:rsidR="00FD67E1" w:rsidRDefault="00EE0B9A">
            <w:pPr>
              <w:spacing w:after="0"/>
            </w:pPr>
            <w:r>
              <w:rPr>
                <w:sz w:val="16"/>
              </w:rPr>
              <w:t>Website</w:t>
            </w:r>
          </w:p>
        </w:tc>
        <w:tc>
          <w:tcPr>
            <w:tcW w:w="7344" w:type="dxa"/>
            <w:tcMar>
              <w:top w:w="80" w:type="dxa"/>
              <w:left w:w="100" w:type="dxa"/>
              <w:bottom w:w="80" w:type="dxa"/>
              <w:right w:w="100" w:type="dxa"/>
            </w:tcMar>
            <w:vAlign w:val="center"/>
          </w:tcPr>
          <w:p w:rsidR="00FD67E1" w:rsidRDefault="00EE0B9A">
            <w:pPr>
              <w:spacing w:after="0"/>
            </w:pPr>
            <w:r>
              <w:rPr>
                <w:sz w:val="16"/>
              </w:rPr>
              <w:t>Approved gate evidence for design, build, content, launch and warranty milestones.</w:t>
            </w:r>
          </w:p>
        </w:tc>
      </w:tr>
      <w:tr w:rsidR="00FD67E1">
        <w:trPr>
          <w:cantSplit/>
          <w:jc w:val="center"/>
        </w:trPr>
        <w:tc>
          <w:tcPr>
            <w:tcW w:w="2304" w:type="dxa"/>
            <w:shd w:val="clear" w:color="auto" w:fill="F4F7F8"/>
            <w:tcMar>
              <w:top w:w="80" w:type="dxa"/>
              <w:left w:w="100" w:type="dxa"/>
              <w:bottom w:w="80" w:type="dxa"/>
              <w:right w:w="100" w:type="dxa"/>
            </w:tcMar>
            <w:vAlign w:val="center"/>
          </w:tcPr>
          <w:p w:rsidR="00FD67E1" w:rsidRDefault="00EE0B9A">
            <w:pPr>
              <w:spacing w:after="0"/>
            </w:pPr>
            <w:r>
              <w:rPr>
                <w:sz w:val="16"/>
              </w:rPr>
              <w:t>Retainers</w:t>
            </w:r>
          </w:p>
        </w:tc>
        <w:tc>
          <w:tcPr>
            <w:tcW w:w="7344" w:type="dxa"/>
            <w:shd w:val="clear" w:color="auto" w:fill="F4F7F8"/>
            <w:tcMar>
              <w:top w:w="80" w:type="dxa"/>
              <w:left w:w="100" w:type="dxa"/>
              <w:bottom w:w="80" w:type="dxa"/>
              <w:right w:w="100" w:type="dxa"/>
            </w:tcMar>
            <w:vAlign w:val="center"/>
          </w:tcPr>
          <w:p w:rsidR="00FD67E1" w:rsidRDefault="00EE0B9A">
            <w:pPr>
              <w:spacing w:after="0"/>
            </w:pPr>
            <w:r>
              <w:rPr>
                <w:sz w:val="16"/>
              </w:rPr>
              <w:t>Accepted monthly report, asset/data archive, reconciled third-party costs and completed deliverables.</w:t>
            </w:r>
          </w:p>
        </w:tc>
      </w:tr>
    </w:tbl>
    <w:p w:rsidR="00FD67E1" w:rsidRDefault="00FD67E1">
      <w:pPr>
        <w:spacing w:after="0"/>
      </w:pPr>
    </w:p>
    <w:p w:rsidR="00FD67E1" w:rsidRDefault="00EE0B9A">
      <w:r>
        <w:br w:type="page"/>
      </w:r>
    </w:p>
    <w:p w:rsidR="00FD67E1" w:rsidRDefault="00EE0B9A">
      <w:pPr>
        <w:pStyle w:val="Heading1"/>
      </w:pPr>
      <w:r>
        <w:lastRenderedPageBreak/>
        <w:t>Schedule H Acceptance Quality and Handover</w:t>
      </w:r>
    </w:p>
    <w:p w:rsidR="00FD67E1" w:rsidRDefault="00EE0B9A">
      <w:pPr>
        <w:pStyle w:val="Heading2"/>
      </w:pPr>
      <w:r>
        <w:t>H1 General acceptance standard</w:t>
      </w:r>
    </w:p>
    <w:p w:rsidR="00FD67E1" w:rsidRDefault="00EE0B9A">
      <w:r>
        <w:t>A deliverable is accepted only when it is complete, accurate, compliant with the approved strategy and brief, technically functional, supplied in all required languages and formats, free from critical or high-severity defects, accompanied by evidence and source files, and approved by the authorised Tharaa representative. Use or publication under schedule pressure does not automatically constitute acceptance.</w:t>
      </w:r>
    </w:p>
    <w:p w:rsidR="00FD67E1" w:rsidRDefault="00EE0B9A">
      <w:pPr>
        <w:pStyle w:val="Heading2"/>
      </w:pPr>
      <w:r>
        <w:t>H2 Quality checklist</w:t>
      </w:r>
    </w:p>
    <w:tbl>
      <w:tblPr>
        <w:tblStyle w:val="TableGrid"/>
        <w:tblW w:w="0" w:type="auto"/>
        <w:jc w:val="center"/>
        <w:tblLook w:val="04A0" w:firstRow="1" w:lastRow="0" w:firstColumn="1" w:lastColumn="0" w:noHBand="0" w:noVBand="1"/>
      </w:tblPr>
      <w:tblGrid>
        <w:gridCol w:w="2016"/>
        <w:gridCol w:w="7632"/>
      </w:tblGrid>
      <w:tr w:rsidR="00FD67E1">
        <w:trPr>
          <w:cantSplit/>
          <w:tblHeader/>
          <w:jc w:val="center"/>
        </w:trPr>
        <w:tc>
          <w:tcPr>
            <w:tcW w:w="2016" w:type="dxa"/>
            <w:shd w:val="clear" w:color="auto" w:fill="13283F"/>
            <w:tcMar>
              <w:top w:w="80" w:type="dxa"/>
              <w:left w:w="100" w:type="dxa"/>
              <w:bottom w:w="80" w:type="dxa"/>
              <w:right w:w="100" w:type="dxa"/>
            </w:tcMar>
          </w:tcPr>
          <w:p w:rsidR="00FD67E1" w:rsidRDefault="00EE0B9A">
            <w:r>
              <w:rPr>
                <w:b/>
                <w:color w:val="FFFFFF"/>
                <w:sz w:val="16"/>
              </w:rPr>
              <w:t>Quality dimension</w:t>
            </w:r>
          </w:p>
        </w:tc>
        <w:tc>
          <w:tcPr>
            <w:tcW w:w="7632" w:type="dxa"/>
            <w:shd w:val="clear" w:color="auto" w:fill="13283F"/>
            <w:tcMar>
              <w:top w:w="80" w:type="dxa"/>
              <w:left w:w="100" w:type="dxa"/>
              <w:bottom w:w="80" w:type="dxa"/>
              <w:right w:w="100" w:type="dxa"/>
            </w:tcMar>
          </w:tcPr>
          <w:p w:rsidR="00FD67E1" w:rsidRDefault="00EE0B9A">
            <w:r>
              <w:rPr>
                <w:b/>
                <w:color w:val="FFFFFF"/>
                <w:sz w:val="16"/>
              </w:rPr>
              <w:t>Acceptance test</w:t>
            </w:r>
          </w:p>
        </w:tc>
      </w:tr>
      <w:tr w:rsidR="00FD67E1">
        <w:trPr>
          <w:cantSplit/>
          <w:jc w:val="center"/>
        </w:trPr>
        <w:tc>
          <w:tcPr>
            <w:tcW w:w="2016" w:type="dxa"/>
            <w:tcMar>
              <w:top w:w="80" w:type="dxa"/>
              <w:left w:w="100" w:type="dxa"/>
              <w:bottom w:w="80" w:type="dxa"/>
              <w:right w:w="100" w:type="dxa"/>
            </w:tcMar>
            <w:vAlign w:val="center"/>
          </w:tcPr>
          <w:p w:rsidR="00FD67E1" w:rsidRDefault="00EE0B9A">
            <w:pPr>
              <w:spacing w:after="0"/>
            </w:pPr>
            <w:r>
              <w:rPr>
                <w:sz w:val="16"/>
              </w:rPr>
              <w:t>Strategic</w:t>
            </w:r>
          </w:p>
        </w:tc>
        <w:tc>
          <w:tcPr>
            <w:tcW w:w="7632" w:type="dxa"/>
            <w:tcMar>
              <w:top w:w="80" w:type="dxa"/>
              <w:left w:w="100" w:type="dxa"/>
              <w:bottom w:w="80" w:type="dxa"/>
              <w:right w:w="100" w:type="dxa"/>
            </w:tcMar>
            <w:vAlign w:val="center"/>
          </w:tcPr>
          <w:p w:rsidR="00FD67E1" w:rsidRDefault="00EE0B9A">
            <w:pPr>
              <w:spacing w:after="0"/>
            </w:pPr>
            <w:r>
              <w:rPr>
                <w:sz w:val="16"/>
              </w:rPr>
              <w:t>Directly supports a stated business and audience objective; consistent with the approved Tharaa platform and entity roles.</w:t>
            </w:r>
          </w:p>
        </w:tc>
      </w:tr>
      <w:tr w:rsidR="00FD67E1">
        <w:trPr>
          <w:cantSplit/>
          <w:jc w:val="center"/>
        </w:trPr>
        <w:tc>
          <w:tcPr>
            <w:tcW w:w="2016" w:type="dxa"/>
            <w:shd w:val="clear" w:color="auto" w:fill="F4F7F8"/>
            <w:tcMar>
              <w:top w:w="80" w:type="dxa"/>
              <w:left w:w="100" w:type="dxa"/>
              <w:bottom w:w="80" w:type="dxa"/>
              <w:right w:w="100" w:type="dxa"/>
            </w:tcMar>
            <w:vAlign w:val="center"/>
          </w:tcPr>
          <w:p w:rsidR="00FD67E1" w:rsidRDefault="00EE0B9A">
            <w:pPr>
              <w:spacing w:after="0"/>
            </w:pPr>
            <w:r>
              <w:rPr>
                <w:sz w:val="16"/>
              </w:rPr>
              <w:t>Factual</w:t>
            </w:r>
          </w:p>
        </w:tc>
        <w:tc>
          <w:tcPr>
            <w:tcW w:w="7632" w:type="dxa"/>
            <w:shd w:val="clear" w:color="auto" w:fill="F4F7F8"/>
            <w:tcMar>
              <w:top w:w="80" w:type="dxa"/>
              <w:left w:w="100" w:type="dxa"/>
              <w:bottom w:w="80" w:type="dxa"/>
              <w:right w:w="100" w:type="dxa"/>
            </w:tcMar>
            <w:vAlign w:val="center"/>
          </w:tcPr>
          <w:p w:rsidR="00FD67E1" w:rsidRDefault="00EE0B9A">
            <w:pPr>
              <w:spacing w:after="0"/>
            </w:pPr>
            <w:r>
              <w:rPr>
                <w:sz w:val="16"/>
              </w:rPr>
              <w:t>Names, titles, ownership, figures, claims, partners, dates and calls to action match approved evidence.</w:t>
            </w:r>
          </w:p>
        </w:tc>
      </w:tr>
      <w:tr w:rsidR="00FD67E1">
        <w:trPr>
          <w:cantSplit/>
          <w:jc w:val="center"/>
        </w:trPr>
        <w:tc>
          <w:tcPr>
            <w:tcW w:w="2016" w:type="dxa"/>
            <w:tcMar>
              <w:top w:w="80" w:type="dxa"/>
              <w:left w:w="100" w:type="dxa"/>
              <w:bottom w:w="80" w:type="dxa"/>
              <w:right w:w="100" w:type="dxa"/>
            </w:tcMar>
            <w:vAlign w:val="center"/>
          </w:tcPr>
          <w:p w:rsidR="00FD67E1" w:rsidRDefault="00EE0B9A">
            <w:pPr>
              <w:spacing w:after="0"/>
            </w:pPr>
            <w:r>
              <w:rPr>
                <w:sz w:val="16"/>
              </w:rPr>
              <w:t>Arabic</w:t>
            </w:r>
          </w:p>
        </w:tc>
        <w:tc>
          <w:tcPr>
            <w:tcW w:w="7632" w:type="dxa"/>
            <w:tcMar>
              <w:top w:w="80" w:type="dxa"/>
              <w:left w:w="100" w:type="dxa"/>
              <w:bottom w:w="80" w:type="dxa"/>
              <w:right w:w="100" w:type="dxa"/>
            </w:tcMar>
            <w:vAlign w:val="center"/>
          </w:tcPr>
          <w:p w:rsidR="00FD67E1" w:rsidRDefault="00EE0B9A">
            <w:pPr>
              <w:spacing w:after="0"/>
            </w:pPr>
            <w:r>
              <w:rPr>
                <w:sz w:val="16"/>
              </w:rPr>
              <w:t>Native-quality formal Arabic; correct terminology, grammar, punctuation, right-to-left layout and line breaks.</w:t>
            </w:r>
          </w:p>
        </w:tc>
      </w:tr>
      <w:tr w:rsidR="00FD67E1">
        <w:trPr>
          <w:cantSplit/>
          <w:jc w:val="center"/>
        </w:trPr>
        <w:tc>
          <w:tcPr>
            <w:tcW w:w="2016" w:type="dxa"/>
            <w:shd w:val="clear" w:color="auto" w:fill="F4F7F8"/>
            <w:tcMar>
              <w:top w:w="80" w:type="dxa"/>
              <w:left w:w="100" w:type="dxa"/>
              <w:bottom w:w="80" w:type="dxa"/>
              <w:right w:w="100" w:type="dxa"/>
            </w:tcMar>
            <w:vAlign w:val="center"/>
          </w:tcPr>
          <w:p w:rsidR="00FD67E1" w:rsidRDefault="00EE0B9A">
            <w:pPr>
              <w:spacing w:after="0"/>
            </w:pPr>
            <w:r>
              <w:rPr>
                <w:sz w:val="16"/>
              </w:rPr>
              <w:t>English</w:t>
            </w:r>
          </w:p>
        </w:tc>
        <w:tc>
          <w:tcPr>
            <w:tcW w:w="7632" w:type="dxa"/>
            <w:shd w:val="clear" w:color="auto" w:fill="F4F7F8"/>
            <w:tcMar>
              <w:top w:w="80" w:type="dxa"/>
              <w:left w:w="100" w:type="dxa"/>
              <w:bottom w:w="80" w:type="dxa"/>
              <w:right w:w="100" w:type="dxa"/>
            </w:tcMar>
            <w:vAlign w:val="center"/>
          </w:tcPr>
          <w:p w:rsidR="00FD67E1" w:rsidRDefault="00EE0B9A">
            <w:pPr>
              <w:spacing w:after="0"/>
            </w:pPr>
            <w:r>
              <w:rPr>
                <w:sz w:val="16"/>
              </w:rPr>
              <w:t>Professional, concise and grammatically correct; consistent terminology and natural composition.</w:t>
            </w:r>
          </w:p>
        </w:tc>
      </w:tr>
      <w:tr w:rsidR="00FD67E1">
        <w:trPr>
          <w:cantSplit/>
          <w:jc w:val="center"/>
        </w:trPr>
        <w:tc>
          <w:tcPr>
            <w:tcW w:w="2016" w:type="dxa"/>
            <w:tcMar>
              <w:top w:w="80" w:type="dxa"/>
              <w:left w:w="100" w:type="dxa"/>
              <w:bottom w:w="80" w:type="dxa"/>
              <w:right w:w="100" w:type="dxa"/>
            </w:tcMar>
            <w:vAlign w:val="center"/>
          </w:tcPr>
          <w:p w:rsidR="00FD67E1" w:rsidRDefault="00EE0B9A">
            <w:pPr>
              <w:spacing w:after="0"/>
            </w:pPr>
            <w:r>
              <w:rPr>
                <w:sz w:val="16"/>
              </w:rPr>
              <w:t>Creative</w:t>
            </w:r>
          </w:p>
        </w:tc>
        <w:tc>
          <w:tcPr>
            <w:tcW w:w="7632" w:type="dxa"/>
            <w:tcMar>
              <w:top w:w="80" w:type="dxa"/>
              <w:left w:w="100" w:type="dxa"/>
              <w:bottom w:w="80" w:type="dxa"/>
              <w:right w:w="100" w:type="dxa"/>
            </w:tcMar>
            <w:vAlign w:val="center"/>
          </w:tcPr>
          <w:p w:rsidR="00FD67E1" w:rsidRDefault="00EE0B9A">
            <w:pPr>
              <w:spacing w:after="0"/>
            </w:pPr>
            <w:r>
              <w:rPr>
                <w:sz w:val="16"/>
              </w:rPr>
              <w:t>On-brand, original, legible, accessible, production-ready and appropriate to the audience and channel.</w:t>
            </w:r>
          </w:p>
        </w:tc>
      </w:tr>
      <w:tr w:rsidR="00FD67E1">
        <w:trPr>
          <w:cantSplit/>
          <w:jc w:val="center"/>
        </w:trPr>
        <w:tc>
          <w:tcPr>
            <w:tcW w:w="2016" w:type="dxa"/>
            <w:shd w:val="clear" w:color="auto" w:fill="F4F7F8"/>
            <w:tcMar>
              <w:top w:w="80" w:type="dxa"/>
              <w:left w:w="100" w:type="dxa"/>
              <w:bottom w:w="80" w:type="dxa"/>
              <w:right w:w="100" w:type="dxa"/>
            </w:tcMar>
            <w:vAlign w:val="center"/>
          </w:tcPr>
          <w:p w:rsidR="00FD67E1" w:rsidRDefault="00EE0B9A">
            <w:pPr>
              <w:spacing w:after="0"/>
            </w:pPr>
            <w:r>
              <w:rPr>
                <w:sz w:val="16"/>
              </w:rPr>
              <w:t>Technical</w:t>
            </w:r>
          </w:p>
        </w:tc>
        <w:tc>
          <w:tcPr>
            <w:tcW w:w="7632" w:type="dxa"/>
            <w:shd w:val="clear" w:color="auto" w:fill="F4F7F8"/>
            <w:tcMar>
              <w:top w:w="80" w:type="dxa"/>
              <w:left w:w="100" w:type="dxa"/>
              <w:bottom w:w="80" w:type="dxa"/>
              <w:right w:w="100" w:type="dxa"/>
            </w:tcMar>
            <w:vAlign w:val="center"/>
          </w:tcPr>
          <w:p w:rsidR="00FD67E1" w:rsidRDefault="00EE0B9A">
            <w:pPr>
              <w:spacing w:after="0"/>
            </w:pPr>
            <w:r>
              <w:rPr>
                <w:sz w:val="16"/>
              </w:rPr>
              <w:t>Correct size, resolution, colour, codec/file type, links, forms, tracking, responsiveness, security and compatibility.</w:t>
            </w:r>
          </w:p>
        </w:tc>
      </w:tr>
      <w:tr w:rsidR="00FD67E1">
        <w:trPr>
          <w:cantSplit/>
          <w:jc w:val="center"/>
        </w:trPr>
        <w:tc>
          <w:tcPr>
            <w:tcW w:w="2016" w:type="dxa"/>
            <w:tcMar>
              <w:top w:w="80" w:type="dxa"/>
              <w:left w:w="100" w:type="dxa"/>
              <w:bottom w:w="80" w:type="dxa"/>
              <w:right w:w="100" w:type="dxa"/>
            </w:tcMar>
            <w:vAlign w:val="center"/>
          </w:tcPr>
          <w:p w:rsidR="00FD67E1" w:rsidRDefault="00EE0B9A">
            <w:pPr>
              <w:spacing w:after="0"/>
            </w:pPr>
            <w:r>
              <w:rPr>
                <w:sz w:val="16"/>
              </w:rPr>
              <w:t>Rights</w:t>
            </w:r>
          </w:p>
        </w:tc>
        <w:tc>
          <w:tcPr>
            <w:tcW w:w="7632" w:type="dxa"/>
            <w:tcMar>
              <w:top w:w="80" w:type="dxa"/>
              <w:left w:w="100" w:type="dxa"/>
              <w:bottom w:w="80" w:type="dxa"/>
              <w:right w:w="100" w:type="dxa"/>
            </w:tcMar>
            <w:vAlign w:val="center"/>
          </w:tcPr>
          <w:p w:rsidR="00FD67E1" w:rsidRDefault="00EE0B9A">
            <w:pPr>
              <w:spacing w:after="0"/>
            </w:pPr>
            <w:r>
              <w:rPr>
                <w:sz w:val="16"/>
              </w:rPr>
              <w:t>Documented rights for images, talent, music, fonts, stock, locations and commissioned work; releases stored.</w:t>
            </w:r>
          </w:p>
        </w:tc>
      </w:tr>
      <w:tr w:rsidR="00FD67E1">
        <w:trPr>
          <w:cantSplit/>
          <w:jc w:val="center"/>
        </w:trPr>
        <w:tc>
          <w:tcPr>
            <w:tcW w:w="2016" w:type="dxa"/>
            <w:shd w:val="clear" w:color="auto" w:fill="F4F7F8"/>
            <w:tcMar>
              <w:top w:w="80" w:type="dxa"/>
              <w:left w:w="100" w:type="dxa"/>
              <w:bottom w:w="80" w:type="dxa"/>
              <w:right w:w="100" w:type="dxa"/>
            </w:tcMar>
            <w:vAlign w:val="center"/>
          </w:tcPr>
          <w:p w:rsidR="00FD67E1" w:rsidRDefault="00EE0B9A">
            <w:pPr>
              <w:spacing w:after="0"/>
            </w:pPr>
            <w:r>
              <w:rPr>
                <w:sz w:val="16"/>
              </w:rPr>
              <w:t>Governance</w:t>
            </w:r>
          </w:p>
        </w:tc>
        <w:tc>
          <w:tcPr>
            <w:tcW w:w="7632" w:type="dxa"/>
            <w:shd w:val="clear" w:color="auto" w:fill="F4F7F8"/>
            <w:tcMar>
              <w:top w:w="80" w:type="dxa"/>
              <w:left w:w="100" w:type="dxa"/>
              <w:bottom w:w="80" w:type="dxa"/>
              <w:right w:w="100" w:type="dxa"/>
            </w:tcMar>
            <w:vAlign w:val="center"/>
          </w:tcPr>
          <w:p w:rsidR="00FD67E1" w:rsidRDefault="00EE0B9A">
            <w:pPr>
              <w:spacing w:after="0"/>
            </w:pPr>
            <w:r>
              <w:rPr>
                <w:sz w:val="16"/>
              </w:rPr>
              <w:t>Correct approval, file version, owner, archive path, publication timing and retention.</w:t>
            </w:r>
          </w:p>
        </w:tc>
      </w:tr>
      <w:tr w:rsidR="00FD67E1">
        <w:trPr>
          <w:cantSplit/>
          <w:jc w:val="center"/>
        </w:trPr>
        <w:tc>
          <w:tcPr>
            <w:tcW w:w="2016" w:type="dxa"/>
            <w:tcMar>
              <w:top w:w="80" w:type="dxa"/>
              <w:left w:w="100" w:type="dxa"/>
              <w:bottom w:w="80" w:type="dxa"/>
              <w:right w:w="100" w:type="dxa"/>
            </w:tcMar>
            <w:vAlign w:val="center"/>
          </w:tcPr>
          <w:p w:rsidR="00FD67E1" w:rsidRDefault="00EE0B9A">
            <w:pPr>
              <w:spacing w:after="0"/>
            </w:pPr>
            <w:r>
              <w:rPr>
                <w:sz w:val="16"/>
              </w:rPr>
              <w:t>Performance</w:t>
            </w:r>
          </w:p>
        </w:tc>
        <w:tc>
          <w:tcPr>
            <w:tcW w:w="7632" w:type="dxa"/>
            <w:tcMar>
              <w:top w:w="80" w:type="dxa"/>
              <w:left w:w="100" w:type="dxa"/>
              <w:bottom w:w="80" w:type="dxa"/>
              <w:right w:w="100" w:type="dxa"/>
            </w:tcMar>
            <w:vAlign w:val="center"/>
          </w:tcPr>
          <w:p w:rsidR="00FD67E1" w:rsidRDefault="00EE0B9A">
            <w:pPr>
              <w:spacing w:after="0"/>
            </w:pPr>
            <w:r>
              <w:rPr>
                <w:sz w:val="16"/>
              </w:rPr>
              <w:t>Measurement tags and conversion events work; baseline or target is documented where applicable.</w:t>
            </w:r>
          </w:p>
        </w:tc>
      </w:tr>
    </w:tbl>
    <w:p w:rsidR="00FD67E1" w:rsidRDefault="00FD67E1">
      <w:pPr>
        <w:spacing w:after="0"/>
      </w:pPr>
    </w:p>
    <w:p w:rsidR="00FD67E1" w:rsidRDefault="00EE0B9A">
      <w:pPr>
        <w:pStyle w:val="Heading2"/>
      </w:pPr>
      <w:r>
        <w:t>H3 Defect severity and correction</w:t>
      </w:r>
    </w:p>
    <w:tbl>
      <w:tblPr>
        <w:tblStyle w:val="TableGrid"/>
        <w:tblW w:w="0" w:type="auto"/>
        <w:jc w:val="center"/>
        <w:tblLook w:val="04A0" w:firstRow="1" w:lastRow="0" w:firstColumn="1" w:lastColumn="0" w:noHBand="0" w:noVBand="1"/>
      </w:tblPr>
      <w:tblGrid>
        <w:gridCol w:w="1584"/>
        <w:gridCol w:w="4752"/>
        <w:gridCol w:w="3312"/>
      </w:tblGrid>
      <w:tr w:rsidR="00FD67E1">
        <w:trPr>
          <w:cantSplit/>
          <w:tblHeader/>
          <w:jc w:val="center"/>
        </w:trPr>
        <w:tc>
          <w:tcPr>
            <w:tcW w:w="1584" w:type="dxa"/>
            <w:shd w:val="clear" w:color="auto" w:fill="13283F"/>
            <w:tcMar>
              <w:top w:w="80" w:type="dxa"/>
              <w:left w:w="100" w:type="dxa"/>
              <w:bottom w:w="80" w:type="dxa"/>
              <w:right w:w="100" w:type="dxa"/>
            </w:tcMar>
          </w:tcPr>
          <w:p w:rsidR="00FD67E1" w:rsidRDefault="00EE0B9A">
            <w:r>
              <w:rPr>
                <w:b/>
                <w:color w:val="FFFFFF"/>
                <w:sz w:val="16"/>
              </w:rPr>
              <w:t>Severity</w:t>
            </w:r>
          </w:p>
        </w:tc>
        <w:tc>
          <w:tcPr>
            <w:tcW w:w="4752" w:type="dxa"/>
            <w:shd w:val="clear" w:color="auto" w:fill="13283F"/>
            <w:tcMar>
              <w:top w:w="80" w:type="dxa"/>
              <w:left w:w="100" w:type="dxa"/>
              <w:bottom w:w="80" w:type="dxa"/>
              <w:right w:w="100" w:type="dxa"/>
            </w:tcMar>
          </w:tcPr>
          <w:p w:rsidR="00FD67E1" w:rsidRDefault="00EE0B9A">
            <w:r>
              <w:rPr>
                <w:b/>
                <w:color w:val="FFFFFF"/>
                <w:sz w:val="16"/>
              </w:rPr>
              <w:t>Definition</w:t>
            </w:r>
          </w:p>
        </w:tc>
        <w:tc>
          <w:tcPr>
            <w:tcW w:w="3312" w:type="dxa"/>
            <w:shd w:val="clear" w:color="auto" w:fill="13283F"/>
            <w:tcMar>
              <w:top w:w="80" w:type="dxa"/>
              <w:left w:w="100" w:type="dxa"/>
              <w:bottom w:w="80" w:type="dxa"/>
              <w:right w:w="100" w:type="dxa"/>
            </w:tcMar>
          </w:tcPr>
          <w:p w:rsidR="00FD67E1" w:rsidRDefault="00EE0B9A">
            <w:r>
              <w:rPr>
                <w:b/>
                <w:color w:val="FFFFFF"/>
                <w:sz w:val="16"/>
              </w:rPr>
              <w:t>Required response</w:t>
            </w:r>
          </w:p>
        </w:tc>
      </w:tr>
      <w:tr w:rsidR="00FD67E1">
        <w:trPr>
          <w:cantSplit/>
          <w:jc w:val="center"/>
        </w:trPr>
        <w:tc>
          <w:tcPr>
            <w:tcW w:w="1584" w:type="dxa"/>
            <w:tcMar>
              <w:top w:w="80" w:type="dxa"/>
              <w:left w:w="100" w:type="dxa"/>
              <w:bottom w:w="80" w:type="dxa"/>
              <w:right w:w="100" w:type="dxa"/>
            </w:tcMar>
            <w:vAlign w:val="center"/>
          </w:tcPr>
          <w:p w:rsidR="00FD67E1" w:rsidRDefault="00EE0B9A">
            <w:pPr>
              <w:spacing w:after="0"/>
            </w:pPr>
            <w:r>
              <w:rPr>
                <w:sz w:val="16"/>
              </w:rPr>
              <w:t>Critical</w:t>
            </w:r>
          </w:p>
        </w:tc>
        <w:tc>
          <w:tcPr>
            <w:tcW w:w="4752" w:type="dxa"/>
            <w:tcMar>
              <w:top w:w="80" w:type="dxa"/>
              <w:left w:w="100" w:type="dxa"/>
              <w:bottom w:w="80" w:type="dxa"/>
              <w:right w:w="100" w:type="dxa"/>
            </w:tcMar>
            <w:vAlign w:val="center"/>
          </w:tcPr>
          <w:p w:rsidR="00FD67E1" w:rsidRDefault="00EE0B9A">
            <w:pPr>
              <w:spacing w:after="0"/>
            </w:pPr>
            <w:r>
              <w:rPr>
                <w:sz w:val="16"/>
              </w:rPr>
              <w:t>Security, privacy, legal, regulatory, ownership, protocol or publication issue with serious exposure; website/service unavailable.</w:t>
            </w:r>
          </w:p>
        </w:tc>
        <w:tc>
          <w:tcPr>
            <w:tcW w:w="3312" w:type="dxa"/>
            <w:tcMar>
              <w:top w:w="80" w:type="dxa"/>
              <w:left w:w="100" w:type="dxa"/>
              <w:bottom w:w="80" w:type="dxa"/>
              <w:right w:w="100" w:type="dxa"/>
            </w:tcMar>
            <w:vAlign w:val="center"/>
          </w:tcPr>
          <w:p w:rsidR="00FD67E1" w:rsidRDefault="00EE0B9A">
            <w:pPr>
              <w:spacing w:after="0"/>
            </w:pPr>
            <w:r>
              <w:rPr>
                <w:sz w:val="16"/>
              </w:rPr>
              <w:t>Immediate escalation and containment; continuous work until stable; correction target agreed by incident lead.</w:t>
            </w:r>
          </w:p>
        </w:tc>
      </w:tr>
      <w:tr w:rsidR="00FD67E1">
        <w:trPr>
          <w:cantSplit/>
          <w:jc w:val="center"/>
        </w:trPr>
        <w:tc>
          <w:tcPr>
            <w:tcW w:w="1584" w:type="dxa"/>
            <w:shd w:val="clear" w:color="auto" w:fill="F4F7F8"/>
            <w:tcMar>
              <w:top w:w="80" w:type="dxa"/>
              <w:left w:w="100" w:type="dxa"/>
              <w:bottom w:w="80" w:type="dxa"/>
              <w:right w:w="100" w:type="dxa"/>
            </w:tcMar>
            <w:vAlign w:val="center"/>
          </w:tcPr>
          <w:p w:rsidR="00FD67E1" w:rsidRDefault="00EE0B9A">
            <w:pPr>
              <w:spacing w:after="0"/>
            </w:pPr>
            <w:r>
              <w:rPr>
                <w:sz w:val="16"/>
              </w:rPr>
              <w:t>High</w:t>
            </w:r>
          </w:p>
        </w:tc>
        <w:tc>
          <w:tcPr>
            <w:tcW w:w="4752" w:type="dxa"/>
            <w:shd w:val="clear" w:color="auto" w:fill="F4F7F8"/>
            <w:tcMar>
              <w:top w:w="80" w:type="dxa"/>
              <w:left w:w="100" w:type="dxa"/>
              <w:bottom w:w="80" w:type="dxa"/>
              <w:right w:w="100" w:type="dxa"/>
            </w:tcMar>
            <w:vAlign w:val="center"/>
          </w:tcPr>
          <w:p w:rsidR="00FD67E1" w:rsidRDefault="00EE0B9A">
            <w:pPr>
              <w:spacing w:after="0"/>
            </w:pPr>
            <w:r>
              <w:rPr>
                <w:sz w:val="16"/>
              </w:rPr>
              <w:t>Material factual error, broken critical journey, unusable Arabic/English version, rights issue or major brand failure.</w:t>
            </w:r>
          </w:p>
        </w:tc>
        <w:tc>
          <w:tcPr>
            <w:tcW w:w="3312" w:type="dxa"/>
            <w:shd w:val="clear" w:color="auto" w:fill="F4F7F8"/>
            <w:tcMar>
              <w:top w:w="80" w:type="dxa"/>
              <w:left w:w="100" w:type="dxa"/>
              <w:bottom w:w="80" w:type="dxa"/>
              <w:right w:w="100" w:type="dxa"/>
            </w:tcMar>
            <w:vAlign w:val="center"/>
          </w:tcPr>
          <w:p w:rsidR="00FD67E1" w:rsidRDefault="00EE0B9A">
            <w:pPr>
              <w:spacing w:after="0"/>
            </w:pPr>
            <w:r>
              <w:rPr>
                <w:sz w:val="16"/>
              </w:rPr>
              <w:t>Acknowledge within one business hour; correction plan same day; resolve before publication or launch.</w:t>
            </w:r>
          </w:p>
        </w:tc>
      </w:tr>
      <w:tr w:rsidR="00FD67E1">
        <w:trPr>
          <w:cantSplit/>
          <w:jc w:val="center"/>
        </w:trPr>
        <w:tc>
          <w:tcPr>
            <w:tcW w:w="1584" w:type="dxa"/>
            <w:tcMar>
              <w:top w:w="80" w:type="dxa"/>
              <w:left w:w="100" w:type="dxa"/>
              <w:bottom w:w="80" w:type="dxa"/>
              <w:right w:w="100" w:type="dxa"/>
            </w:tcMar>
            <w:vAlign w:val="center"/>
          </w:tcPr>
          <w:p w:rsidR="00FD67E1" w:rsidRDefault="00EE0B9A">
            <w:pPr>
              <w:spacing w:after="0"/>
            </w:pPr>
            <w:r>
              <w:rPr>
                <w:sz w:val="16"/>
              </w:rPr>
              <w:t>Medium</w:t>
            </w:r>
          </w:p>
        </w:tc>
        <w:tc>
          <w:tcPr>
            <w:tcW w:w="4752" w:type="dxa"/>
            <w:tcMar>
              <w:top w:w="80" w:type="dxa"/>
              <w:left w:w="100" w:type="dxa"/>
              <w:bottom w:w="80" w:type="dxa"/>
              <w:right w:w="100" w:type="dxa"/>
            </w:tcMar>
            <w:vAlign w:val="center"/>
          </w:tcPr>
          <w:p w:rsidR="00FD67E1" w:rsidRDefault="00EE0B9A">
            <w:pPr>
              <w:spacing w:after="0"/>
            </w:pPr>
            <w:r>
              <w:rPr>
                <w:sz w:val="16"/>
              </w:rPr>
              <w:t>Noticeable functional, formatting, consistency or quality issue that does not block the primary purpose.</w:t>
            </w:r>
          </w:p>
        </w:tc>
        <w:tc>
          <w:tcPr>
            <w:tcW w:w="3312" w:type="dxa"/>
            <w:tcMar>
              <w:top w:w="80" w:type="dxa"/>
              <w:left w:w="100" w:type="dxa"/>
              <w:bottom w:w="80" w:type="dxa"/>
              <w:right w:w="100" w:type="dxa"/>
            </w:tcMar>
            <w:vAlign w:val="center"/>
          </w:tcPr>
          <w:p w:rsidR="00FD67E1" w:rsidRDefault="00EE0B9A">
            <w:pPr>
              <w:spacing w:after="0"/>
            </w:pPr>
            <w:r>
              <w:rPr>
                <w:sz w:val="16"/>
              </w:rPr>
              <w:t>Log and correct within two working days or agreed release window.</w:t>
            </w:r>
          </w:p>
        </w:tc>
      </w:tr>
      <w:tr w:rsidR="00FD67E1">
        <w:trPr>
          <w:cantSplit/>
          <w:jc w:val="center"/>
        </w:trPr>
        <w:tc>
          <w:tcPr>
            <w:tcW w:w="1584" w:type="dxa"/>
            <w:shd w:val="clear" w:color="auto" w:fill="F4F7F8"/>
            <w:tcMar>
              <w:top w:w="80" w:type="dxa"/>
              <w:left w:w="100" w:type="dxa"/>
              <w:bottom w:w="80" w:type="dxa"/>
              <w:right w:w="100" w:type="dxa"/>
            </w:tcMar>
            <w:vAlign w:val="center"/>
          </w:tcPr>
          <w:p w:rsidR="00FD67E1" w:rsidRDefault="00EE0B9A">
            <w:pPr>
              <w:spacing w:after="0"/>
            </w:pPr>
            <w:r>
              <w:rPr>
                <w:sz w:val="16"/>
              </w:rPr>
              <w:t>Low</w:t>
            </w:r>
          </w:p>
        </w:tc>
        <w:tc>
          <w:tcPr>
            <w:tcW w:w="4752" w:type="dxa"/>
            <w:shd w:val="clear" w:color="auto" w:fill="F4F7F8"/>
            <w:tcMar>
              <w:top w:w="80" w:type="dxa"/>
              <w:left w:w="100" w:type="dxa"/>
              <w:bottom w:w="80" w:type="dxa"/>
              <w:right w:w="100" w:type="dxa"/>
            </w:tcMar>
            <w:vAlign w:val="center"/>
          </w:tcPr>
          <w:p w:rsidR="00FD67E1" w:rsidRDefault="00EE0B9A">
            <w:pPr>
              <w:spacing w:after="0"/>
            </w:pPr>
            <w:r>
              <w:rPr>
                <w:sz w:val="16"/>
              </w:rPr>
              <w:t>Minor polish issue with no meaningful effect on use, meaning or compliance.</w:t>
            </w:r>
          </w:p>
        </w:tc>
        <w:tc>
          <w:tcPr>
            <w:tcW w:w="3312" w:type="dxa"/>
            <w:shd w:val="clear" w:color="auto" w:fill="F4F7F8"/>
            <w:tcMar>
              <w:top w:w="80" w:type="dxa"/>
              <w:left w:w="100" w:type="dxa"/>
              <w:bottom w:w="80" w:type="dxa"/>
              <w:right w:w="100" w:type="dxa"/>
            </w:tcMar>
            <w:vAlign w:val="center"/>
          </w:tcPr>
          <w:p w:rsidR="00FD67E1" w:rsidRDefault="00EE0B9A">
            <w:pPr>
              <w:spacing w:after="0"/>
            </w:pPr>
            <w:r>
              <w:rPr>
                <w:sz w:val="16"/>
              </w:rPr>
              <w:t>Correct in the next planned release or within five working days.</w:t>
            </w:r>
          </w:p>
        </w:tc>
      </w:tr>
    </w:tbl>
    <w:p w:rsidR="00FD67E1" w:rsidRDefault="00FD67E1">
      <w:pPr>
        <w:spacing w:after="0"/>
      </w:pPr>
    </w:p>
    <w:p w:rsidR="00FD67E1" w:rsidRDefault="00EE0B9A">
      <w:pPr>
        <w:pStyle w:val="Heading2"/>
      </w:pPr>
      <w:r>
        <w:t>H4 Handover register</w:t>
      </w:r>
    </w:p>
    <w:p w:rsidR="00FD67E1" w:rsidRDefault="00EE0B9A">
      <w:pPr>
        <w:pStyle w:val="CompactBullet"/>
      </w:pPr>
      <w:r>
        <w:t>Approved strategy, architecture, messaging, guidelines and policy documents in editable and final formats.</w:t>
      </w:r>
    </w:p>
    <w:p w:rsidR="00FD67E1" w:rsidRDefault="00EE0B9A">
      <w:pPr>
        <w:pStyle w:val="CompactBullet"/>
      </w:pPr>
      <w:r>
        <w:t>All logo, design, motion, photography, video, audio, presentation, report, social and campaign source files with linked assets.</w:t>
      </w:r>
    </w:p>
    <w:p w:rsidR="00FD67E1" w:rsidRDefault="00EE0B9A">
      <w:pPr>
        <w:pStyle w:val="CompactBullet"/>
      </w:pPr>
      <w:r>
        <w:t>Website design library, source code, repository, documentation, environments, credentials, database/data export, integrations, DNS/hosting access, backups and deployment process.</w:t>
      </w:r>
    </w:p>
    <w:p w:rsidR="00FD67E1" w:rsidRDefault="00EE0B9A">
      <w:pPr>
        <w:pStyle w:val="CompactBullet"/>
      </w:pPr>
      <w:r>
        <w:t>Domains, social accounts, advertising accounts, analytics properties, tag managers, pixels, audiences, dashboards and recovery methods under Tharaa-controlled ownership.</w:t>
      </w:r>
    </w:p>
    <w:p w:rsidR="00FD67E1" w:rsidRDefault="00EE0B9A">
      <w:pPr>
        <w:pStyle w:val="CompactBullet"/>
      </w:pPr>
      <w:r>
        <w:lastRenderedPageBreak/>
        <w:t>Content register, media database, coverage archive, consent/releases, licence schedule, claims/evidence register, decision log and reporting history.</w:t>
      </w:r>
    </w:p>
    <w:p w:rsidR="00FD67E1" w:rsidRDefault="00EE0B9A">
      <w:pPr>
        <w:pStyle w:val="CompactBullet"/>
      </w:pPr>
      <w:r>
        <w:t>Administrator and user training, recordings, operating procedures, troubleshooting guide and named transition support.</w:t>
      </w:r>
    </w:p>
    <w:p w:rsidR="00FD67E1" w:rsidRDefault="00EE0B9A">
      <w:pPr>
        <w:pStyle w:val="CompactBullet"/>
      </w:pPr>
      <w:r>
        <w:t>Written list of continuing subscriptions, renewal dates, costs, owners, cancellation steps and any remaining restrictions.</w:t>
      </w:r>
    </w:p>
    <w:p w:rsidR="00FD67E1" w:rsidRDefault="00EE0B9A">
      <w:pPr>
        <w:pStyle w:val="CompactBullet"/>
      </w:pPr>
      <w:r>
        <w:t>Agency certification that confidential information and personal data have been returned or deleted as contractually required.</w:t>
      </w:r>
    </w:p>
    <w:p w:rsidR="00FD67E1" w:rsidRDefault="00EE0B9A">
      <w:pPr>
        <w:pStyle w:val="Heading2"/>
      </w:pPr>
      <w:r>
        <w:t>H5 Exit and transition</w:t>
      </w:r>
    </w:p>
    <w:p w:rsidR="00FD67E1" w:rsidRDefault="00EE0B9A">
      <w:r>
        <w:t>The agency must support an orderly transition for up to 30 calendar days after termination or expiry, within the commercial terms stated in the proposal. Transition includes access transfer, walkthroughs, open-work status, supplier introductions, asset and data validation, unresolved-risk disclosure and reasonable assistance to a replacement supplier. The agency may not withhold operational access, source files or client data because of a dispute unrelated to ownership of those materials, subject to the exe</w:t>
      </w:r>
      <w:r>
        <w:t>cuted contract.</w:t>
      </w:r>
    </w:p>
    <w:p w:rsidR="00FD67E1" w:rsidRDefault="00EE0B9A">
      <w:r>
        <w:br w:type="page"/>
      </w:r>
    </w:p>
    <w:p w:rsidR="00FD67E1" w:rsidRDefault="00EE0B9A">
      <w:pPr>
        <w:pStyle w:val="Heading1"/>
      </w:pPr>
      <w:r>
        <w:lastRenderedPageBreak/>
        <w:t>Schedule I Bidder Response Checklist</w:t>
      </w:r>
    </w:p>
    <w:p w:rsidR="00FD67E1" w:rsidRDefault="00EE0B9A">
      <w:r>
        <w:t>The bidder must use this checklist as an index in each technical proposal. Mark every requirement as Comply, Partially Comply or Do Not Comply and cite the exact proposal section. A partial or negative response must explain the exception, impact, alternative and commercial implication.</w:t>
      </w:r>
    </w:p>
    <w:tbl>
      <w:tblPr>
        <w:tblStyle w:val="TableGrid"/>
        <w:tblW w:w="0" w:type="auto"/>
        <w:jc w:val="center"/>
        <w:tblLook w:val="04A0" w:firstRow="1" w:lastRow="0" w:firstColumn="1" w:lastColumn="0" w:noHBand="0" w:noVBand="1"/>
      </w:tblPr>
      <w:tblGrid>
        <w:gridCol w:w="504"/>
        <w:gridCol w:w="7416"/>
        <w:gridCol w:w="1800"/>
      </w:tblGrid>
      <w:tr w:rsidR="00FD67E1">
        <w:trPr>
          <w:cantSplit/>
          <w:tblHeader/>
          <w:jc w:val="center"/>
        </w:trPr>
        <w:tc>
          <w:tcPr>
            <w:tcW w:w="504" w:type="dxa"/>
            <w:shd w:val="clear" w:color="auto" w:fill="13283F"/>
            <w:tcMar>
              <w:top w:w="80" w:type="dxa"/>
              <w:left w:w="100" w:type="dxa"/>
              <w:bottom w:w="80" w:type="dxa"/>
              <w:right w:w="100" w:type="dxa"/>
            </w:tcMar>
          </w:tcPr>
          <w:p w:rsidR="00FD67E1" w:rsidRDefault="00EE0B9A">
            <w:r>
              <w:rPr>
                <w:b/>
                <w:color w:val="FFFFFF"/>
                <w:sz w:val="16"/>
              </w:rPr>
              <w:t>#</w:t>
            </w:r>
          </w:p>
        </w:tc>
        <w:tc>
          <w:tcPr>
            <w:tcW w:w="7416" w:type="dxa"/>
            <w:shd w:val="clear" w:color="auto" w:fill="13283F"/>
            <w:tcMar>
              <w:top w:w="80" w:type="dxa"/>
              <w:left w:w="100" w:type="dxa"/>
              <w:bottom w:w="80" w:type="dxa"/>
              <w:right w:w="100" w:type="dxa"/>
            </w:tcMar>
          </w:tcPr>
          <w:p w:rsidR="00FD67E1" w:rsidRDefault="00EE0B9A">
            <w:r>
              <w:rPr>
                <w:b/>
                <w:color w:val="FFFFFF"/>
                <w:sz w:val="16"/>
              </w:rPr>
              <w:t>Required response item</w:t>
            </w:r>
          </w:p>
        </w:tc>
        <w:tc>
          <w:tcPr>
            <w:tcW w:w="1800" w:type="dxa"/>
            <w:shd w:val="clear" w:color="auto" w:fill="13283F"/>
            <w:tcMar>
              <w:top w:w="80" w:type="dxa"/>
              <w:left w:w="100" w:type="dxa"/>
              <w:bottom w:w="80" w:type="dxa"/>
              <w:right w:w="100" w:type="dxa"/>
            </w:tcMar>
          </w:tcPr>
          <w:p w:rsidR="00FD67E1" w:rsidRDefault="00EE0B9A">
            <w:r>
              <w:rPr>
                <w:b/>
                <w:color w:val="FFFFFF"/>
                <w:sz w:val="16"/>
              </w:rPr>
              <w:t>Bidder reference</w:t>
            </w: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1</w:t>
            </w:r>
          </w:p>
        </w:tc>
        <w:tc>
          <w:tcPr>
            <w:tcW w:w="7416" w:type="dxa"/>
            <w:tcMar>
              <w:top w:w="80" w:type="dxa"/>
              <w:left w:w="100" w:type="dxa"/>
              <w:bottom w:w="80" w:type="dxa"/>
              <w:right w:w="100" w:type="dxa"/>
            </w:tcMar>
            <w:vAlign w:val="center"/>
          </w:tcPr>
          <w:p w:rsidR="00FD67E1" w:rsidRDefault="00EE0B9A">
            <w:pPr>
              <w:spacing w:after="0"/>
            </w:pPr>
            <w:r>
              <w:rPr>
                <w:sz w:val="16"/>
              </w:rPr>
              <w:t>Understanding of Tharaa as an integrated independent ecosystem</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2</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Understanding of all six entities and their audiences</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3</w:t>
            </w:r>
          </w:p>
        </w:tc>
        <w:tc>
          <w:tcPr>
            <w:tcW w:w="7416" w:type="dxa"/>
            <w:tcMar>
              <w:top w:w="80" w:type="dxa"/>
              <w:left w:w="100" w:type="dxa"/>
              <w:bottom w:w="80" w:type="dxa"/>
              <w:right w:w="100" w:type="dxa"/>
            </w:tcMar>
            <w:vAlign w:val="center"/>
          </w:tcPr>
          <w:p w:rsidR="00FD67E1" w:rsidRDefault="00EE0B9A">
            <w:pPr>
              <w:spacing w:after="0"/>
            </w:pPr>
            <w:r>
              <w:rPr>
                <w:sz w:val="16"/>
              </w:rPr>
              <w:t>Validation and research methodology</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4</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Brand strategy, narrative and evidence approach</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5</w:t>
            </w:r>
          </w:p>
        </w:tc>
        <w:tc>
          <w:tcPr>
            <w:tcW w:w="7416" w:type="dxa"/>
            <w:tcMar>
              <w:top w:w="80" w:type="dxa"/>
              <w:left w:w="100" w:type="dxa"/>
              <w:bottom w:w="80" w:type="dxa"/>
              <w:right w:w="100" w:type="dxa"/>
            </w:tcMar>
            <w:vAlign w:val="center"/>
          </w:tcPr>
          <w:p w:rsidR="00FD67E1" w:rsidRDefault="00EE0B9A">
            <w:pPr>
              <w:spacing w:after="0"/>
            </w:pPr>
            <w:r>
              <w:rPr>
                <w:sz w:val="16"/>
              </w:rPr>
              <w:t>Architecture and naming approach</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6</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Arabic and English capability with named senior practitioners</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7</w:t>
            </w:r>
          </w:p>
        </w:tc>
        <w:tc>
          <w:tcPr>
            <w:tcW w:w="7416" w:type="dxa"/>
            <w:tcMar>
              <w:top w:w="80" w:type="dxa"/>
              <w:left w:w="100" w:type="dxa"/>
              <w:bottom w:w="80" w:type="dxa"/>
              <w:right w:w="100" w:type="dxa"/>
            </w:tcMar>
            <w:vAlign w:val="center"/>
          </w:tcPr>
          <w:p w:rsidR="00FD67E1" w:rsidRDefault="00EE0B9A">
            <w:pPr>
              <w:spacing w:after="0"/>
            </w:pPr>
            <w:r>
              <w:rPr>
                <w:sz w:val="16"/>
              </w:rPr>
              <w:t>Visual identity and complete application scope</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8</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Website architecture, functions, technology and client control</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9</w:t>
            </w:r>
          </w:p>
        </w:tc>
        <w:tc>
          <w:tcPr>
            <w:tcW w:w="7416" w:type="dxa"/>
            <w:tcMar>
              <w:top w:w="80" w:type="dxa"/>
              <w:left w:w="100" w:type="dxa"/>
              <w:bottom w:w="80" w:type="dxa"/>
              <w:right w:w="100" w:type="dxa"/>
            </w:tcMar>
            <w:vAlign w:val="center"/>
          </w:tcPr>
          <w:p w:rsidR="00FD67E1" w:rsidRDefault="00EE0B9A">
            <w:pPr>
              <w:spacing w:after="0"/>
            </w:pPr>
            <w:r>
              <w:rPr>
                <w:sz w:val="16"/>
              </w:rPr>
              <w:t>Accessibility, privacy, cyber security and performance approach</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10</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Launch strategy, asset plan and critical-path response</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11</w:t>
            </w:r>
          </w:p>
        </w:tc>
        <w:tc>
          <w:tcPr>
            <w:tcW w:w="7416" w:type="dxa"/>
            <w:tcMar>
              <w:top w:w="80" w:type="dxa"/>
              <w:left w:w="100" w:type="dxa"/>
              <w:bottom w:w="80" w:type="dxa"/>
              <w:right w:w="100" w:type="dxa"/>
            </w:tcMar>
            <w:vAlign w:val="center"/>
          </w:tcPr>
          <w:p w:rsidR="00FD67E1" w:rsidRDefault="00EE0B9A">
            <w:pPr>
              <w:spacing w:after="0"/>
            </w:pPr>
            <w:r>
              <w:rPr>
                <w:sz w:val="16"/>
              </w:rPr>
              <w:t>PR, media office, spokesperson and crisis service model</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12</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Optional social-management proposal clearly separated from Package 1, if submitted</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13</w:t>
            </w:r>
          </w:p>
        </w:tc>
        <w:tc>
          <w:tcPr>
            <w:tcW w:w="7416" w:type="dxa"/>
            <w:tcMar>
              <w:top w:w="80" w:type="dxa"/>
              <w:left w:w="100" w:type="dxa"/>
              <w:bottom w:w="80" w:type="dxa"/>
              <w:right w:w="100" w:type="dxa"/>
            </w:tcMar>
            <w:vAlign w:val="center"/>
          </w:tcPr>
          <w:p w:rsidR="00FD67E1" w:rsidRDefault="00EE0B9A">
            <w:pPr>
              <w:spacing w:after="0"/>
            </w:pPr>
            <w:r>
              <w:rPr>
                <w:sz w:val="16"/>
              </w:rPr>
              <w:t>Social channel architecture and editorial system, if Package 2 is submitted</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14</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Content-production capacity, quality and rights management</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15</w:t>
            </w:r>
          </w:p>
        </w:tc>
        <w:tc>
          <w:tcPr>
            <w:tcW w:w="7416" w:type="dxa"/>
            <w:tcMar>
              <w:top w:w="80" w:type="dxa"/>
              <w:left w:w="100" w:type="dxa"/>
              <w:bottom w:w="80" w:type="dxa"/>
              <w:right w:w="100" w:type="dxa"/>
            </w:tcMar>
            <w:vAlign w:val="center"/>
          </w:tcPr>
          <w:p w:rsidR="00FD67E1" w:rsidRDefault="00EE0B9A">
            <w:pPr>
              <w:spacing w:after="0"/>
            </w:pPr>
            <w:r>
              <w:rPr>
                <w:sz w:val="16"/>
              </w:rPr>
              <w:t>Community management and service levels, if Package 2 is submitted</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16</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Paid-media planning, access, optimisation and fee model, if Package 2 is submitted</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17</w:t>
            </w:r>
          </w:p>
        </w:tc>
        <w:tc>
          <w:tcPr>
            <w:tcW w:w="7416" w:type="dxa"/>
            <w:tcMar>
              <w:top w:w="80" w:type="dxa"/>
              <w:left w:w="100" w:type="dxa"/>
              <w:bottom w:w="80" w:type="dxa"/>
              <w:right w:w="100" w:type="dxa"/>
            </w:tcMar>
            <w:vAlign w:val="center"/>
          </w:tcPr>
          <w:p w:rsidR="00FD67E1" w:rsidRDefault="00EE0B9A">
            <w:pPr>
              <w:spacing w:after="0"/>
            </w:pPr>
            <w:r>
              <w:rPr>
                <w:sz w:val="16"/>
              </w:rPr>
              <w:t>Measurement framework, KPI definitions and raw-data handover</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18</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Governance, approval, risk and change-control model</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19</w:t>
            </w:r>
          </w:p>
        </w:tc>
        <w:tc>
          <w:tcPr>
            <w:tcW w:w="7416" w:type="dxa"/>
            <w:tcMar>
              <w:top w:w="80" w:type="dxa"/>
              <w:left w:w="100" w:type="dxa"/>
              <w:bottom w:w="80" w:type="dxa"/>
              <w:right w:w="100" w:type="dxa"/>
            </w:tcMar>
            <w:vAlign w:val="center"/>
          </w:tcPr>
          <w:p w:rsidR="00FD67E1" w:rsidRDefault="00EE0B9A">
            <w:pPr>
              <w:spacing w:after="0"/>
            </w:pPr>
            <w:r>
              <w:rPr>
                <w:sz w:val="16"/>
              </w:rPr>
              <w:t>Named team, availability, location and subcontractors</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20</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Detailed programme with dependencies and client decisions</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21</w:t>
            </w:r>
          </w:p>
        </w:tc>
        <w:tc>
          <w:tcPr>
            <w:tcW w:w="7416" w:type="dxa"/>
            <w:tcMar>
              <w:top w:w="80" w:type="dxa"/>
              <w:left w:w="100" w:type="dxa"/>
              <w:bottom w:w="80" w:type="dxa"/>
              <w:right w:w="100" w:type="dxa"/>
            </w:tcMar>
            <w:vAlign w:val="center"/>
          </w:tcPr>
          <w:p w:rsidR="00FD67E1" w:rsidRDefault="00EE0B9A">
            <w:pPr>
              <w:spacing w:after="0"/>
            </w:pPr>
            <w:r>
              <w:rPr>
                <w:sz w:val="16"/>
              </w:rPr>
              <w:t>Credible value creation proposal with first 100 days, measures and proof</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22</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Matching value-item commercial schedule with costs and dependencies</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23</w:t>
            </w:r>
          </w:p>
        </w:tc>
        <w:tc>
          <w:tcPr>
            <w:tcW w:w="7416" w:type="dxa"/>
            <w:tcMar>
              <w:top w:w="80" w:type="dxa"/>
              <w:left w:w="100" w:type="dxa"/>
              <w:bottom w:w="80" w:type="dxa"/>
              <w:right w:w="100" w:type="dxa"/>
            </w:tcMar>
            <w:vAlign w:val="center"/>
          </w:tcPr>
          <w:p w:rsidR="00FD67E1" w:rsidRDefault="00EE0B9A">
            <w:pPr>
              <w:spacing w:after="0"/>
            </w:pPr>
            <w:r>
              <w:rPr>
                <w:sz w:val="16"/>
              </w:rPr>
              <w:t>Complete commercial schedules, assumptions and exclusions</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24</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Intellectual-property, source-file and account-control compliance</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25</w:t>
            </w:r>
          </w:p>
        </w:tc>
        <w:tc>
          <w:tcPr>
            <w:tcW w:w="7416" w:type="dxa"/>
            <w:tcMar>
              <w:top w:w="80" w:type="dxa"/>
              <w:left w:w="100" w:type="dxa"/>
              <w:bottom w:w="80" w:type="dxa"/>
              <w:right w:w="100" w:type="dxa"/>
            </w:tcMar>
            <w:vAlign w:val="center"/>
          </w:tcPr>
          <w:p w:rsidR="00FD67E1" w:rsidRDefault="00EE0B9A">
            <w:pPr>
              <w:spacing w:after="0"/>
            </w:pPr>
            <w:r>
              <w:rPr>
                <w:sz w:val="16"/>
              </w:rPr>
              <w:t>Training, warranty, support, exit and transition compliance</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26</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Three relevant client references and verified case studies</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tcMar>
              <w:top w:w="80" w:type="dxa"/>
              <w:left w:w="100" w:type="dxa"/>
              <w:bottom w:w="80" w:type="dxa"/>
              <w:right w:w="100" w:type="dxa"/>
            </w:tcMar>
            <w:vAlign w:val="center"/>
          </w:tcPr>
          <w:p w:rsidR="00FD67E1" w:rsidRDefault="00EE0B9A">
            <w:pPr>
              <w:spacing w:after="0"/>
            </w:pPr>
            <w:r>
              <w:rPr>
                <w:sz w:val="16"/>
              </w:rPr>
              <w:t>27</w:t>
            </w:r>
          </w:p>
        </w:tc>
        <w:tc>
          <w:tcPr>
            <w:tcW w:w="7416" w:type="dxa"/>
            <w:tcMar>
              <w:top w:w="80" w:type="dxa"/>
              <w:left w:w="100" w:type="dxa"/>
              <w:bottom w:w="80" w:type="dxa"/>
              <w:right w:w="100" w:type="dxa"/>
            </w:tcMar>
            <w:vAlign w:val="center"/>
          </w:tcPr>
          <w:p w:rsidR="00FD67E1" w:rsidRDefault="00EE0B9A">
            <w:pPr>
              <w:spacing w:after="0"/>
            </w:pPr>
            <w:r>
              <w:rPr>
                <w:sz w:val="16"/>
              </w:rPr>
              <w:t>Conflict-of-interest and competing-account disclosure</w:t>
            </w:r>
          </w:p>
        </w:tc>
        <w:tc>
          <w:tcPr>
            <w:tcW w:w="1800" w:type="dxa"/>
            <w:tcMar>
              <w:top w:w="80" w:type="dxa"/>
              <w:left w:w="100" w:type="dxa"/>
              <w:bottom w:w="80" w:type="dxa"/>
              <w:right w:w="100" w:type="dxa"/>
            </w:tcMar>
            <w:vAlign w:val="center"/>
          </w:tcPr>
          <w:p w:rsidR="00FD67E1" w:rsidRDefault="00FD67E1">
            <w:pPr>
              <w:spacing w:after="0"/>
            </w:pPr>
          </w:p>
        </w:tc>
      </w:tr>
      <w:tr w:rsidR="00FD67E1">
        <w:trPr>
          <w:cantSplit/>
          <w:jc w:val="center"/>
        </w:trPr>
        <w:tc>
          <w:tcPr>
            <w:tcW w:w="504" w:type="dxa"/>
            <w:shd w:val="clear" w:color="auto" w:fill="F4F7F8"/>
            <w:tcMar>
              <w:top w:w="80" w:type="dxa"/>
              <w:left w:w="100" w:type="dxa"/>
              <w:bottom w:w="80" w:type="dxa"/>
              <w:right w:w="100" w:type="dxa"/>
            </w:tcMar>
            <w:vAlign w:val="center"/>
          </w:tcPr>
          <w:p w:rsidR="00FD67E1" w:rsidRDefault="00EE0B9A">
            <w:pPr>
              <w:spacing w:after="0"/>
            </w:pPr>
            <w:r>
              <w:rPr>
                <w:sz w:val="16"/>
              </w:rPr>
              <w:t>28</w:t>
            </w:r>
          </w:p>
        </w:tc>
        <w:tc>
          <w:tcPr>
            <w:tcW w:w="7416" w:type="dxa"/>
            <w:shd w:val="clear" w:color="auto" w:fill="F4F7F8"/>
            <w:tcMar>
              <w:top w:w="80" w:type="dxa"/>
              <w:left w:w="100" w:type="dxa"/>
              <w:bottom w:w="80" w:type="dxa"/>
              <w:right w:w="100" w:type="dxa"/>
            </w:tcMar>
            <w:vAlign w:val="center"/>
          </w:tcPr>
          <w:p w:rsidR="00FD67E1" w:rsidRDefault="00EE0B9A">
            <w:pPr>
              <w:spacing w:after="0"/>
            </w:pPr>
            <w:r>
              <w:rPr>
                <w:sz w:val="16"/>
              </w:rPr>
              <w:t>Signed bank-guarantee undertaking and procurement eligibility documents</w:t>
            </w:r>
          </w:p>
        </w:tc>
        <w:tc>
          <w:tcPr>
            <w:tcW w:w="1800" w:type="dxa"/>
            <w:shd w:val="clear" w:color="auto" w:fill="F4F7F8"/>
            <w:tcMar>
              <w:top w:w="80" w:type="dxa"/>
              <w:left w:w="100" w:type="dxa"/>
              <w:bottom w:w="80" w:type="dxa"/>
              <w:right w:w="100" w:type="dxa"/>
            </w:tcMar>
            <w:vAlign w:val="center"/>
          </w:tcPr>
          <w:p w:rsidR="00FD67E1" w:rsidRDefault="00FD67E1">
            <w:pPr>
              <w:spacing w:after="0"/>
            </w:pPr>
          </w:p>
        </w:tc>
      </w:tr>
    </w:tbl>
    <w:p w:rsidR="00FD67E1" w:rsidRDefault="00FD67E1">
      <w:pPr>
        <w:spacing w:after="0"/>
      </w:pPr>
    </w:p>
    <w:p w:rsidR="00FD67E1" w:rsidRDefault="00EE0B9A">
      <w:pPr>
        <w:pStyle w:val="Heading2"/>
      </w:pPr>
      <w:r>
        <w:lastRenderedPageBreak/>
        <w:t>Bidder declaration</w:t>
      </w:r>
    </w:p>
    <w:p w:rsidR="00FD67E1" w:rsidRDefault="00EE0B9A">
      <w:r>
        <w:t>By submitting a proposal, the bidder confirms that it has reviewed the complete scope, identified all assumptions and exceptions, proposed an adequately qualified team, and priced all work reasonably necessary to deliver the stated outputs and acceptance requirements. Any qualification must appear clearly in the proposal; general terms or later correspondence may not silently override the tender requirements.</w:t>
      </w:r>
    </w:p>
    <w:p w:rsidR="00FD67E1" w:rsidRDefault="00EE0B9A">
      <w:pPr>
        <w:pStyle w:val="Heading2"/>
      </w:pPr>
      <w:r>
        <w:t>Order of precedence</w:t>
      </w:r>
    </w:p>
    <w:p w:rsidR="00FD67E1" w:rsidRDefault="00EE0B9A">
      <w:r>
        <w:t>The formal Ajman Chamber tender documents, issued addenda and written clarifications prevail over this scope where a conflict exists. Within the agency’s submission, specific written exceptions prevail over general marketing statements. The final contract, including agreed schedules and clarifications, governs delivery.</w:t>
      </w:r>
    </w:p>
    <w:sectPr w:rsidR="00FD67E1" w:rsidSect="00034616">
      <w:headerReference w:type="default" r:id="rId9"/>
      <w:footerReference w:type="default" r:id="rId10"/>
      <w:pgSz w:w="12240" w:h="15840"/>
      <w:pgMar w:top="1008" w:right="1080" w:bottom="979"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0B9A" w:rsidRDefault="00EE0B9A">
      <w:pPr>
        <w:spacing w:after="0" w:line="240" w:lineRule="auto"/>
      </w:pPr>
      <w:r>
        <w:separator/>
      </w:r>
    </w:p>
  </w:endnote>
  <w:endnote w:type="continuationSeparator" w:id="0">
    <w:p w:rsidR="00EE0B9A" w:rsidRDefault="00EE0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E1" w:rsidRDefault="00EE0B9A">
    <w:pPr>
      <w:pStyle w:val="Footer"/>
      <w:jc w:val="center"/>
    </w:pPr>
    <w:r>
      <w:rPr>
        <w:color w:val="596773"/>
        <w:sz w:val="14"/>
      </w:rPr>
      <w:t xml:space="preserve">THARAA  |  Confidential tender document  |  </w:t>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0B9A" w:rsidRDefault="00EE0B9A">
      <w:pPr>
        <w:spacing w:after="0" w:line="240" w:lineRule="auto"/>
      </w:pPr>
      <w:r>
        <w:separator/>
      </w:r>
    </w:p>
  </w:footnote>
  <w:footnote w:type="continuationSeparator" w:id="0">
    <w:p w:rsidR="00EE0B9A" w:rsidRDefault="00EE0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E1" w:rsidRDefault="00EE0B9A">
    <w:pPr>
      <w:pStyle w:val="Header"/>
      <w:jc w:val="right"/>
    </w:pPr>
    <w:r>
      <w:rPr>
        <w:b/>
        <w:color w:val="000000"/>
        <w:sz w:val="15"/>
      </w:rPr>
      <w:t>THARAA | SCOPE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9606570">
    <w:abstractNumId w:val="8"/>
  </w:num>
  <w:num w:numId="2" w16cid:durableId="829907251">
    <w:abstractNumId w:val="6"/>
  </w:num>
  <w:num w:numId="3" w16cid:durableId="575436784">
    <w:abstractNumId w:val="5"/>
  </w:num>
  <w:num w:numId="4" w16cid:durableId="995450613">
    <w:abstractNumId w:val="4"/>
  </w:num>
  <w:num w:numId="5" w16cid:durableId="746806910">
    <w:abstractNumId w:val="7"/>
  </w:num>
  <w:num w:numId="6" w16cid:durableId="1274170251">
    <w:abstractNumId w:val="3"/>
  </w:num>
  <w:num w:numId="7" w16cid:durableId="1077436216">
    <w:abstractNumId w:val="2"/>
  </w:num>
  <w:num w:numId="8" w16cid:durableId="1030108759">
    <w:abstractNumId w:val="1"/>
  </w:num>
  <w:num w:numId="9" w16cid:durableId="2087801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E1A2F"/>
    <w:rsid w:val="00326F90"/>
    <w:rsid w:val="00AA1D8D"/>
    <w:rsid w:val="00B47730"/>
    <w:rsid w:val="00CB0664"/>
    <w:rsid w:val="00EE0B9A"/>
    <w:rsid w:val="00FC693F"/>
    <w:rsid w:val="00FD6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536580D-D723-2345-B938-A26595AD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ptos" w:hAnsi="Aptos"/>
      <w:color w:val="13283F"/>
      <w:sz w:val="18"/>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000000"/>
      <w:sz w:val="34"/>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000000"/>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contextualSpacing/>
    </w:pPr>
    <w:rPr>
      <w:rFonts w:asciiTheme="majorHAnsi" w:eastAsiaTheme="majorEastAsia" w:hAnsiTheme="majorHAnsi" w:cstheme="majorBidi"/>
      <w:b/>
      <w:color w:val="000000"/>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160"/>
    </w:pPr>
    <w:rPr>
      <w:rFonts w:asciiTheme="majorHAnsi" w:eastAsiaTheme="majorEastAsia" w:hAnsiTheme="majorHAnsi" w:cstheme="majorBidi"/>
      <w:i/>
      <w:iCs/>
      <w:color w:val="00000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Bullet">
    <w:name w:val="Compact Bullet"/>
    <w:basedOn w:val="ListBullet"/>
    <w:pPr>
      <w:spacing w:after="40"/>
      <w:ind w:left="288" w:hanging="173"/>
    </w:pPr>
  </w:style>
  <w:style w:type="paragraph" w:customStyle="1" w:styleId="SmallNote">
    <w:name w:val="Small Note"/>
    <w:pPr>
      <w:spacing w:after="60"/>
    </w:pPr>
    <w:rPr>
      <w:rFonts w:ascii="Aptos" w:hAnsi="Aptos"/>
      <w:i/>
      <w:color w:val="596773"/>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11507</Words>
  <Characters>65594</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Tharaa Corporate Identity, Media, PR and Social Media Scope of Work</dc:title>
  <dc:subject>Competitive tender scope issued by Ajman Chamber for Tharaa</dc:subject>
  <dc:creator>Ajman Chamber / Tharaa</dc:creator>
  <cp:keywords/>
  <dc:description>Revised 9 September 2026</dc:description>
  <cp:lastModifiedBy>Ahmed Khbeer</cp:lastModifiedBy>
  <cp:revision>2</cp:revision>
  <dcterms:created xsi:type="dcterms:W3CDTF">2026-09-09T11:35:00Z</dcterms:created>
  <dcterms:modified xsi:type="dcterms:W3CDTF">2026-09-09T11:35:00Z</dcterms:modified>
  <cp:category/>
</cp:coreProperties>
</file>