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655999" cy="582501"/>
            <wp:docPr id="1" name="Picture 1"/>
            <wp:cNvGraphicFramePr>
              <a:graphicFrameLocks noChangeAspect="1"/>
            </wp:cNvGraphicFramePr>
            <a:graphic>
              <a:graphicData uri="http://schemas.openxmlformats.org/drawingml/2006/picture">
                <pic:pic>
                  <pic:nvPicPr>
                    <pic:cNvPr id="0" name="image1.png"/>
                    <pic:cNvPicPr/>
                  </pic:nvPicPr>
                  <pic:blipFill>
                    <a:blip r:embed="rId11"/>
                    <a:stretch>
                      <a:fillRect/>
                    </a:stretch>
                  </pic:blipFill>
                  <pic:spPr>
                    <a:xfrm>
                      <a:off x="0" y="0"/>
                      <a:ext cx="1655999" cy="582501"/>
                    </a:xfrm>
                    <a:prstGeom prst="rect"/>
                  </pic:spPr>
                </pic:pic>
              </a:graphicData>
            </a:graphic>
          </wp:inline>
        </w:drawing>
      </w:r>
    </w:p>
    <w:p>
      <w:pPr>
        <w:spacing w:before="120" w:after="80"/>
        <w:jc w:val="right"/>
        <w:bidi w:val="1"/>
      </w:pPr>
      <w:r>
        <w:rPr>
          <w:rFonts w:ascii="Arial" w:hAnsi="Arial"/>
          <w:b/>
          <w:i w:val="0"/>
          <w:color w:val="13283F"/>
          <w:sz w:val="60"/>
          <w:rtl w:val="1"/>
          <w:rFonts w:cs="Arial"/>
        </w:rPr>
        <w:t>نطاق العمل</w:t>
      </w:r>
    </w:p>
    <w:p>
      <w:pPr>
        <w:spacing w:before="0" w:after="120"/>
        <w:jc w:val="right"/>
        <w:bidi w:val="1"/>
      </w:pPr>
      <w:r>
        <w:rPr>
          <w:rFonts w:ascii="Arial" w:hAnsi="Arial"/>
          <w:b w:val="0"/>
          <w:i/>
          <w:color w:val="13283F"/>
          <w:sz w:val="26"/>
          <w:rtl w:val="1"/>
          <w:rFonts w:cs="Arial"/>
        </w:rPr>
        <w:t>الهوية المؤسسية واستراتيجية العلامة التجارية والإعلام والعلاقات العامة، مع إدارة اختيارية لوسائل التواصل الاجتماعي</w:t>
      </w:r>
    </w:p>
    <w:p>
      <w:pPr>
        <w:spacing w:before="220" w:after="80"/>
        <w:jc w:val="right"/>
        <w:bidi w:val="1"/>
      </w:pPr>
      <w:r>
        <w:rPr>
          <w:rFonts w:ascii="Arial" w:hAnsi="Arial"/>
          <w:b/>
          <w:i w:val="0"/>
          <w:color w:val="13283F"/>
          <w:sz w:val="23"/>
          <w:rtl w:val="1"/>
          <w:rFonts w:cs="Arial"/>
        </w:rPr>
        <w:t>ثرا القابضة وشركاتها التشغيلية</w:t>
      </w:r>
    </w:p>
    <w:p>
      <w:pPr>
        <w:spacing w:before="0" w:after="100"/>
        <w:jc w:val="both"/>
        <w:bidi w:val="1"/>
      </w:pPr>
      <w:r>
        <w:rPr>
          <w:rFonts w:ascii="Arial" w:hAnsi="Arial"/>
          <w:b w:val="0"/>
          <w:i/>
          <w:color w:val="596773"/>
          <w:sz w:val="16"/>
          <w:rtl w:val="1"/>
          <w:rFonts w:cs="Arial"/>
        </w:rPr>
        <w:t>صادر لغرض المناقصة التنافسية | سبتمبر ٢٠٢٦</w:t>
      </w:r>
    </w:p>
    <w:tbl>
      <w:tblPr>
        <w:tblStyle w:val="TableGrid"/>
        <w:tblW w:type="auto" w:w="0"/>
        <w:jc w:val="center"/>
        <w:tblLayout w:type="fixed"/>
        <w:tblLook w:firstColumn="1" w:firstRow="1" w:lastColumn="0" w:lastRow="0" w:noHBand="0" w:noVBand="1" w:val="04A0"/>
        <w:bidiVisual/>
      </w:tblPr>
      <w:tblGrid>
        <w:gridCol w:w="6860"/>
        <w:gridCol w:w="3118"/>
      </w:tblGrid>
      <w:tr>
        <w:tc>
          <w:tcPr>
            <w:tcW w:type="dxa" w:w="6860"/>
            <w:shd w:val="clear" w:fill="13283F"/>
          </w:tcPr>
          <w:p>
            <w:pPr>
              <w:spacing w:after="20"/>
              <w:jc w:val="both"/>
              <w:bidi w:val="1"/>
            </w:pPr>
            <w:r>
              <w:rPr>
                <w:rtl w:val="1"/>
                <w:rFonts w:cs="Arial"/>
              </w:rPr>
            </w:r>
            <w:r>
              <w:rPr>
                <w:rFonts w:ascii="Arial" w:hAnsi="Arial"/>
                <w:b/>
                <w:color w:val="FFFFFF"/>
                <w:sz w:val="17"/>
                <w:rtl w:val="1"/>
                <w:rFonts w:cs="Arial"/>
              </w:rPr>
              <w:t>ضبط الوثيقة</w:t>
            </w:r>
          </w:p>
        </w:tc>
        <w:tc>
          <w:tcPr>
            <w:tcW w:type="dxa" w:w="3118"/>
            <w:shd w:val="clear" w:fill="13283F"/>
          </w:tcPr>
          <w:p>
            <w:pPr>
              <w:spacing w:after="20"/>
              <w:jc w:val="both"/>
              <w:bidi w:val="1"/>
            </w:pPr>
            <w:r>
              <w:rPr>
                <w:rtl w:val="1"/>
                <w:rFonts w:cs="Arial"/>
              </w:rPr>
            </w:r>
            <w:r>
              <w:rPr>
                <w:rFonts w:ascii="Arial" w:hAnsi="Arial"/>
                <w:b/>
                <w:color w:val="FFFFFF"/>
                <w:sz w:val="17"/>
                <w:rtl w:val="1"/>
                <w:rFonts w:cs="Arial"/>
              </w:rPr>
              <w:t>التفاصيل</w:t>
            </w:r>
          </w:p>
        </w:tc>
      </w:tr>
      <w:tr>
        <w:tc>
          <w:tcPr>
            <w:tcW w:type="dxa" w:w="6860"/>
            <w:shd w:val="clear" w:fill="F4F6F8"/>
          </w:tcPr>
          <w:p>
            <w:pPr>
              <w:spacing w:after="20"/>
              <w:jc w:val="both"/>
              <w:bidi w:val="1"/>
            </w:pPr>
            <w:r>
              <w:rPr>
                <w:rtl w:val="1"/>
                <w:rFonts w:cs="Arial"/>
              </w:rPr>
            </w:r>
            <w:r>
              <w:rPr>
                <w:rFonts w:ascii="Arial" w:hAnsi="Arial"/>
                <w:b/>
                <w:color w:val="13283F"/>
                <w:sz w:val="17"/>
                <w:rtl w:val="1"/>
                <w:rFonts w:cs="Arial"/>
              </w:rPr>
              <w:t>الجهة المتعاقدة</w:t>
            </w:r>
          </w:p>
        </w:tc>
        <w:tc>
          <w:tcPr>
            <w:tcW w:type="dxa" w:w="3118"/>
            <w:shd w:val="clear" w:fill="F4F6F8"/>
          </w:tcPr>
          <w:p>
            <w:pPr>
              <w:spacing w:after="20"/>
              <w:jc w:val="both"/>
              <w:bidi w:val="1"/>
            </w:pPr>
            <w:r>
              <w:rPr>
                <w:rtl w:val="1"/>
                <w:rFonts w:cs="Arial"/>
              </w:rPr>
            </w:r>
            <w:r>
              <w:rPr>
                <w:rFonts w:ascii="Arial" w:hAnsi="Arial"/>
                <w:color w:val="13283F"/>
                <w:sz w:val="17"/>
                <w:rtl w:val="1"/>
                <w:rFonts w:cs="Arial"/>
              </w:rPr>
              <w:t>غرفة تجارة وصناعة عجمان</w:t>
            </w:r>
          </w:p>
        </w:tc>
      </w:tr>
      <w:tr>
        <w:tc>
          <w:tcPr>
            <w:tcW w:type="dxa" w:w="6860"/>
            <w:shd w:val="clear" w:fill="E9EDF1"/>
          </w:tcPr>
          <w:p>
            <w:pPr>
              <w:spacing w:after="20"/>
              <w:jc w:val="both"/>
              <w:bidi w:val="1"/>
            </w:pPr>
            <w:r>
              <w:rPr>
                <w:rtl w:val="1"/>
                <w:rFonts w:cs="Arial"/>
              </w:rPr>
            </w:r>
            <w:r>
              <w:rPr>
                <w:rFonts w:ascii="Arial" w:hAnsi="Arial"/>
                <w:b/>
                <w:color w:val="13283F"/>
                <w:sz w:val="17"/>
                <w:rtl w:val="1"/>
                <w:rFonts w:cs="Arial"/>
              </w:rPr>
              <w:t>المنظومة</w:t>
            </w:r>
          </w:p>
        </w:tc>
        <w:tc>
          <w:tcPr>
            <w:tcW w:type="dxa" w:w="3118"/>
            <w:shd w:val="clear" w:fill="E9EDF1"/>
          </w:tcPr>
          <w:p>
            <w:pPr>
              <w:spacing w:after="20"/>
              <w:jc w:val="both"/>
              <w:bidi w:val="1"/>
            </w:pPr>
            <w:r>
              <w:rPr>
                <w:rtl w:val="1"/>
                <w:rFonts w:cs="Arial"/>
              </w:rPr>
            </w:r>
            <w:r>
              <w:rPr>
                <w:rFonts w:ascii="Arial" w:hAnsi="Arial"/>
                <w:color w:val="13283F"/>
                <w:sz w:val="17"/>
                <w:rtl w:val="1"/>
                <w:rFonts w:cs="Arial"/>
              </w:rPr>
              <w:t>ثرا القابضة</w:t>
            </w:r>
          </w:p>
        </w:tc>
      </w:tr>
      <w:tr>
        <w:tc>
          <w:tcPr>
            <w:tcW w:type="dxa" w:w="6860"/>
            <w:shd w:val="clear" w:fill="F4F6F8"/>
          </w:tcPr>
          <w:p>
            <w:pPr>
              <w:spacing w:after="20"/>
              <w:jc w:val="both"/>
              <w:bidi w:val="1"/>
            </w:pPr>
            <w:r>
              <w:rPr>
                <w:rtl w:val="1"/>
                <w:rFonts w:cs="Arial"/>
              </w:rPr>
            </w:r>
            <w:r>
              <w:rPr>
                <w:rFonts w:ascii="Arial" w:hAnsi="Arial"/>
                <w:b/>
                <w:color w:val="13283F"/>
                <w:sz w:val="17"/>
                <w:rtl w:val="1"/>
                <w:rFonts w:cs="Arial"/>
              </w:rPr>
              <w:t>الحزم</w:t>
            </w:r>
          </w:p>
        </w:tc>
        <w:tc>
          <w:tcPr>
            <w:tcW w:type="dxa" w:w="3118"/>
            <w:shd w:val="clear" w:fill="F4F6F8"/>
          </w:tcPr>
          <w:p>
            <w:pPr>
              <w:spacing w:after="20"/>
              <w:jc w:val="both"/>
              <w:bidi w:val="1"/>
            </w:pPr>
            <w:r>
              <w:rPr>
                <w:rtl w:val="1"/>
                <w:rFonts w:cs="Arial"/>
              </w:rPr>
            </w:r>
            <w:r>
              <w:rPr>
                <w:rFonts w:ascii="Arial" w:hAnsi="Arial"/>
                <w:color w:val="13283F"/>
                <w:sz w:val="17"/>
                <w:rtl w:val="1"/>
                <w:rFonts w:cs="Arial"/>
              </w:rPr>
              <w:t>١. الأساسية: الهوية المؤسسية واستراتيجية العلامة والإعلام والعلاقات العامة</w:t>
            </w:r>
          </w:p>
          <w:p>
            <w:pPr>
              <w:spacing w:after="20"/>
              <w:jc w:val="both"/>
              <w:bidi w:val="1"/>
            </w:pPr>
            <w:r>
              <w:rPr>
                <w:rFonts w:ascii="Arial" w:hAnsi="Arial"/>
                <w:color w:val="13283F"/>
                <w:sz w:val="17"/>
                <w:rtl w:val="1"/>
                <w:rFonts w:cs="Arial"/>
              </w:rPr>
              <w:t>٢. الاختيارية: إدارة وسائل التواصل الاجتماعي والمحتوى الرقمي</w:t>
            </w:r>
          </w:p>
        </w:tc>
      </w:tr>
      <w:tr>
        <w:tc>
          <w:tcPr>
            <w:tcW w:type="dxa" w:w="6860"/>
            <w:shd w:val="clear" w:fill="E9EDF1"/>
          </w:tcPr>
          <w:p>
            <w:pPr>
              <w:spacing w:after="20"/>
              <w:jc w:val="both"/>
              <w:bidi w:val="1"/>
            </w:pPr>
            <w:r>
              <w:rPr>
                <w:rtl w:val="1"/>
                <w:rFonts w:cs="Arial"/>
              </w:rPr>
            </w:r>
            <w:r>
              <w:rPr>
                <w:rFonts w:ascii="Arial" w:hAnsi="Arial"/>
                <w:b/>
                <w:color w:val="13283F"/>
                <w:sz w:val="17"/>
                <w:rtl w:val="1"/>
                <w:rFonts w:cs="Arial"/>
              </w:rPr>
              <w:t>اللغة</w:t>
            </w:r>
          </w:p>
        </w:tc>
        <w:tc>
          <w:tcPr>
            <w:tcW w:type="dxa" w:w="3118"/>
            <w:shd w:val="clear" w:fill="E9EDF1"/>
          </w:tcPr>
          <w:p>
            <w:pPr>
              <w:spacing w:after="20"/>
              <w:jc w:val="both"/>
              <w:bidi w:val="1"/>
            </w:pPr>
            <w:r>
              <w:rPr>
                <w:rtl w:val="1"/>
                <w:rFonts w:cs="Arial"/>
              </w:rPr>
            </w:r>
            <w:r>
              <w:rPr>
                <w:rFonts w:ascii="Arial" w:hAnsi="Arial"/>
                <w:color w:val="13283F"/>
                <w:sz w:val="17"/>
                <w:rtl w:val="1"/>
                <w:rFonts w:cs="Arial"/>
              </w:rPr>
              <w:t>العربية والإنجليزية</w:t>
            </w:r>
          </w:p>
        </w:tc>
      </w:tr>
      <w:tr>
        <w:tc>
          <w:tcPr>
            <w:tcW w:type="dxa" w:w="6860"/>
            <w:shd w:val="clear" w:fill="F4F6F8"/>
          </w:tcPr>
          <w:p>
            <w:pPr>
              <w:spacing w:after="20"/>
              <w:jc w:val="both"/>
              <w:bidi w:val="1"/>
            </w:pPr>
            <w:r>
              <w:rPr>
                <w:rtl w:val="1"/>
                <w:rFonts w:cs="Arial"/>
              </w:rPr>
            </w:r>
            <w:r>
              <w:rPr>
                <w:rFonts w:ascii="Arial" w:hAnsi="Arial"/>
                <w:b/>
                <w:color w:val="13283F"/>
                <w:sz w:val="17"/>
                <w:rtl w:val="1"/>
                <w:rFonts w:cs="Arial"/>
              </w:rPr>
              <w:t>بوابة المناقصات</w:t>
            </w:r>
          </w:p>
        </w:tc>
        <w:tc>
          <w:tcPr>
            <w:tcW w:type="dxa" w:w="3118"/>
            <w:shd w:val="clear" w:fill="F4F6F8"/>
          </w:tcPr>
          <w:p>
            <w:pPr>
              <w:spacing w:after="20"/>
              <w:jc w:val="both"/>
              <w:bidi w:val="1"/>
            </w:pPr>
            <w:r>
              <w:rPr>
                <w:rtl w:val="1"/>
                <w:rFonts w:cs="Arial"/>
              </w:rPr>
            </w:r>
            <w:r>
              <w:rPr>
                <w:rFonts w:ascii="Arial" w:hAnsi="Arial"/>
                <w:color w:val="13283F"/>
                <w:sz w:val="17"/>
                <w:rtl w:val="1"/>
                <w:rFonts w:cs="Arial"/>
              </w:rPr>
              <w:t>بوابة المناقصات لحكومة عجمان (توريد)</w:t>
            </w:r>
          </w:p>
        </w:tc>
      </w:tr>
    </w:tbl>
    <w:p>
      <w:pPr>
        <w:spacing w:after="80"/>
      </w:pPr>
    </w:p>
    <w:p>
      <w:pPr>
        <w:spacing w:before="220" w:after="80"/>
        <w:jc w:val="right"/>
        <w:bidi w:val="1"/>
      </w:pPr>
      <w:r>
        <w:rPr>
          <w:rFonts w:ascii="Arial" w:hAnsi="Arial"/>
          <w:b/>
          <w:i w:val="0"/>
          <w:color w:val="13283F"/>
          <w:sz w:val="23"/>
          <w:rtl w:val="1"/>
          <w:rFonts w:cs="Arial"/>
        </w:rPr>
        <w:t>السرية والدقة</w:t>
      </w:r>
    </w:p>
    <w:p>
      <w:pPr>
        <w:spacing w:before="0" w:after="100"/>
        <w:jc w:val="both"/>
        <w:bidi w:val="1"/>
      </w:pPr>
      <w:r>
        <w:rPr>
          <w:rFonts w:ascii="Arial" w:hAnsi="Arial"/>
          <w:b w:val="0"/>
          <w:i w:val="0"/>
          <w:color w:val="13283F"/>
          <w:sz w:val="18"/>
          <w:rtl w:val="1"/>
          <w:rFonts w:cs="Arial"/>
        </w:rPr>
        <w:t>تحدد هذه الوثيقة الحد الأدنى من نطاق العمل المطلوب. وتخضع جميع التصريحات العلنية المتعلقة بالدعم الحكومي أو الشراكات أو الاستثمار أو شركات المحفظة أو الوظائف أو التمويل أو المستفيدين أو الأثر الاقتصادي لموافقة خطية مسبقة وإثبات مستندي.</w:t>
      </w:r>
    </w:p>
    <w:p>
      <w:pPr>
        <w:spacing w:before="360" w:after="120"/>
        <w:jc w:val="right"/>
        <w:bidi w:val="1"/>
      </w:pPr>
      <w:r>
        <w:rPr>
          <w:rFonts w:ascii="Arial" w:hAnsi="Arial"/>
          <w:b/>
          <w:i w:val="0"/>
          <w:color w:val="13283F"/>
          <w:sz w:val="34"/>
          <w:rtl w:val="1"/>
          <w:rFonts w:cs="Arial"/>
        </w:rPr>
        <w:t>١. المقدمة</w:t>
      </w:r>
    </w:p>
    <w:p>
      <w:pPr>
        <w:spacing w:before="0" w:after="100"/>
        <w:jc w:val="both"/>
        <w:bidi w:val="1"/>
      </w:pPr>
      <w:r>
        <w:rPr>
          <w:rFonts w:ascii="Arial" w:hAnsi="Arial"/>
          <w:b w:val="0"/>
          <w:i w:val="0"/>
          <w:color w:val="13283F"/>
          <w:sz w:val="18"/>
          <w:rtl w:val="1"/>
          <w:rFonts w:cs="Arial"/>
        </w:rPr>
        <w:t>ثرا منظومة متكاملة ومستقلة مقرها عجمان ومملوكة بالكامل لغرفة تجارة وصناعة عجمان. تربط بين المشاريع وريادة الأعمال والابتكار والاستثمار وخدمات دعم الأعمال بهدف إنشاء الشركات وخلق الوظائف وتحقيق قيمة اقتصادية مستدامة. وتعمل ثرا من خلال علامتها التجارية وحوكمتها وإدارتها ومنصتها التجارية الخاصة.</w:t>
      </w:r>
    </w:p>
    <w:p>
      <w:pPr>
        <w:spacing w:before="0" w:after="100"/>
        <w:jc w:val="both"/>
        <w:bidi w:val="1"/>
      </w:pPr>
      <w:r>
        <w:rPr>
          <w:rFonts w:ascii="Arial" w:hAnsi="Arial"/>
          <w:b w:val="0"/>
          <w:i w:val="0"/>
          <w:color w:val="13283F"/>
          <w:sz w:val="18"/>
          <w:rtl w:val="1"/>
          <w:rFonts w:cs="Arial"/>
        </w:rPr>
        <w:t>تربط ثرا المؤسسين والمنشآت الصغيرة والمتوسطة والمستثمرين والشركات والجهات الحكومية والجامعات والمجتمعات من خلال منصة واحدة منسقة تشمل البنية التحتية للأعمال والاحتضان والتسريع ورأس المال والخدمات المشتركة المعهّدة والأثر الاجتماعي. وليس الغرض منها إنشاء مساحة عمل مشترك أخرى أو منصة فعاليات، بل بناء منظومة تشغيلية تساعد المشاريع على الانتقال من الفكرة والتأسيس إلى النمو ودخول السوق والاستثمار والتوسع الإقليمي.</w:t>
      </w:r>
    </w:p>
    <w:p>
      <w:pPr>
        <w:spacing w:before="0" w:after="100"/>
        <w:jc w:val="both"/>
        <w:bidi w:val="1"/>
      </w:pPr>
      <w:r>
        <w:rPr>
          <w:rFonts w:ascii="Arial" w:hAnsi="Arial"/>
          <w:b w:val="0"/>
          <w:i w:val="0"/>
          <w:color w:val="13283F"/>
          <w:sz w:val="18"/>
          <w:rtl w:val="1"/>
          <w:rFonts w:cs="Arial"/>
        </w:rPr>
        <w:t>وعلى الوكالة تحويل هذا النموذج المؤسسي والتجاري المعقد إلى قصة واحدة واضحة وذات مصداقية وتمايز. ويجب أن تحتفظ ثرا بهوية عصرية ومستقلة وذات صلة تجارية قادرة على استقطاب رواد الأعمال والمستثمرين.</w:t>
      </w:r>
    </w:p>
    <w:p>
      <w:pPr>
        <w:spacing w:before="360" w:after="120"/>
        <w:jc w:val="right"/>
        <w:bidi w:val="1"/>
      </w:pPr>
      <w:r>
        <w:rPr>
          <w:rFonts w:ascii="Arial" w:hAnsi="Arial"/>
          <w:b/>
          <w:i w:val="0"/>
          <w:color w:val="13283F"/>
          <w:sz w:val="34"/>
          <w:rtl w:val="1"/>
          <w:rFonts w:cs="Arial"/>
        </w:rPr>
        <w:t>٢. الأساس الاستراتيجي</w:t>
      </w:r>
    </w:p>
    <w:p>
      <w:pPr>
        <w:spacing w:before="220" w:after="80"/>
        <w:jc w:val="right"/>
        <w:bidi w:val="1"/>
      </w:pPr>
      <w:r>
        <w:rPr>
          <w:rFonts w:ascii="Arial" w:hAnsi="Arial"/>
          <w:b/>
          <w:i w:val="0"/>
          <w:color w:val="13283F"/>
          <w:sz w:val="23"/>
          <w:rtl w:val="1"/>
          <w:rFonts w:cs="Arial"/>
        </w:rPr>
        <w:t>الرؤية</w:t>
      </w:r>
    </w:p>
    <w:p>
      <w:pPr>
        <w:spacing w:before="0" w:after="100"/>
        <w:jc w:val="both"/>
        <w:bidi w:val="1"/>
      </w:pPr>
      <w:r>
        <w:rPr>
          <w:rFonts w:ascii="Arial" w:hAnsi="Arial"/>
          <w:b w:val="0"/>
          <w:i w:val="0"/>
          <w:color w:val="13283F"/>
          <w:sz w:val="18"/>
          <w:rtl w:val="1"/>
          <w:rFonts w:cs="Arial"/>
        </w:rPr>
        <w:t>بناء واحدة من أكثر المنظومات فاعلية في المنطقة لإنشاء الأعمال والمواهب والاستثمارات وتنميتها وتوسيع نطاقها انطلاقًا من عجمان إلى المنطقة الأوسع.</w:t>
      </w:r>
    </w:p>
    <w:p>
      <w:pPr>
        <w:spacing w:before="220" w:after="80"/>
        <w:jc w:val="right"/>
        <w:bidi w:val="1"/>
      </w:pPr>
      <w:r>
        <w:rPr>
          <w:rFonts w:ascii="Arial" w:hAnsi="Arial"/>
          <w:b/>
          <w:i w:val="0"/>
          <w:color w:val="13283F"/>
          <w:sz w:val="23"/>
          <w:rtl w:val="1"/>
          <w:rFonts w:cs="Arial"/>
        </w:rPr>
        <w:t>الرسالة</w:t>
      </w:r>
    </w:p>
    <w:p>
      <w:pPr>
        <w:spacing w:before="0" w:after="100"/>
        <w:jc w:val="both"/>
        <w:bidi w:val="1"/>
      </w:pPr>
      <w:r>
        <w:rPr>
          <w:rFonts w:ascii="Arial" w:hAnsi="Arial"/>
          <w:b w:val="0"/>
          <w:i w:val="0"/>
          <w:color w:val="13283F"/>
          <w:sz w:val="18"/>
          <w:rtl w:val="1"/>
          <w:rFonts w:cs="Arial"/>
        </w:rPr>
        <w:t>الربط بين رواد الأعمال والمنشآت الصغيرة والمتوسطة والمستثمرين والشركات والمؤسسات من خلال بنية تحتية متكاملة واحتضان وتسريع ورأس مال وخدمات مشتركة ووصول إلى الأسواق ومنصات مجتمعية تحوّل الفرصة إلى نمو اقتصادي مستدام.</w:t>
      </w:r>
    </w:p>
    <w:p>
      <w:pPr>
        <w:spacing w:before="220" w:after="80"/>
        <w:jc w:val="right"/>
        <w:bidi w:val="1"/>
      </w:pPr>
      <w:r>
        <w:rPr>
          <w:rFonts w:ascii="Arial" w:hAnsi="Arial"/>
          <w:b/>
          <w:i w:val="0"/>
          <w:color w:val="13283F"/>
          <w:sz w:val="23"/>
          <w:rtl w:val="1"/>
          <w:rFonts w:cs="Arial"/>
        </w:rPr>
        <w:t>وعد العلامة التجارية</w:t>
      </w:r>
    </w:p>
    <w:p>
      <w:pPr>
        <w:spacing w:before="0" w:after="100"/>
        <w:jc w:val="both"/>
        <w:bidi w:val="1"/>
      </w:pPr>
      <w:r>
        <w:rPr>
          <w:rFonts w:ascii="Arial" w:hAnsi="Arial"/>
          <w:b w:val="0"/>
          <w:i w:val="0"/>
          <w:color w:val="13283F"/>
          <w:sz w:val="18"/>
          <w:rtl w:val="1"/>
          <w:rFonts w:cs="Arial"/>
        </w:rPr>
        <w:t>من الفكرة إلى النطاق العالمي، تمنح ثرا المؤسسين والشركات مسارًا مترابطًا إلى مساحات العمل ودعم المشاريع والاستثمار والخدمات التشغيلية والوصول إلى الأسواق، بما يتيح لهم التركيز على الابتكار والعملاء والنمو.</w:t>
      </w:r>
    </w:p>
    <w:tbl>
      <w:tblPr>
        <w:tblStyle w:val="TableGrid"/>
        <w:tblW w:type="auto" w:w="0"/>
        <w:jc w:val="center"/>
        <w:tblLayout w:type="fixed"/>
        <w:tblLook w:firstColumn="1" w:firstRow="1" w:lastColumn="0" w:lastRow="0" w:noHBand="0" w:noVBand="1" w:val="04A0"/>
        <w:bidiVisual/>
      </w:tblPr>
      <w:tblGrid>
        <w:gridCol w:w="2772"/>
        <w:gridCol w:w="7207"/>
      </w:tblGrid>
      <w:tr>
        <w:tc>
          <w:tcPr>
            <w:tcW w:type="dxa" w:w="2772"/>
            <w:shd w:val="clear" w:fill="13283F"/>
          </w:tcPr>
          <w:p>
            <w:pPr>
              <w:spacing w:after="20"/>
              <w:jc w:val="both"/>
              <w:bidi w:val="1"/>
            </w:pPr>
            <w:r>
              <w:rPr>
                <w:rtl w:val="1"/>
                <w:rFonts w:cs="Arial"/>
              </w:rPr>
            </w:r>
            <w:r>
              <w:rPr>
                <w:rFonts w:ascii="Arial" w:hAnsi="Arial"/>
                <w:b/>
                <w:color w:val="FFFFFF"/>
                <w:sz w:val="17"/>
                <w:rtl w:val="1"/>
                <w:rFonts w:cs="Arial"/>
              </w:rPr>
              <w:t>المبدأ</w:t>
            </w:r>
          </w:p>
        </w:tc>
        <w:tc>
          <w:tcPr>
            <w:tcW w:type="dxa" w:w="7206"/>
            <w:shd w:val="clear" w:fill="13283F"/>
          </w:tcPr>
          <w:p>
            <w:pPr>
              <w:spacing w:after="20"/>
              <w:jc w:val="both"/>
              <w:bidi w:val="1"/>
            </w:pPr>
            <w:r>
              <w:rPr>
                <w:rtl w:val="1"/>
                <w:rFonts w:cs="Arial"/>
              </w:rPr>
            </w:r>
            <w:r>
              <w:rPr>
                <w:rFonts w:ascii="Arial" w:hAnsi="Arial"/>
                <w:b/>
                <w:color w:val="FFFFFF"/>
                <w:sz w:val="17"/>
                <w:rtl w:val="1"/>
                <w:rFonts w:cs="Arial"/>
              </w:rPr>
              <w:t>المعنى</w:t>
            </w:r>
          </w:p>
        </w:tc>
      </w:tr>
      <w:tr>
        <w:tc>
          <w:tcPr>
            <w:tcW w:type="dxa" w:w="2772"/>
            <w:shd w:val="clear" w:fill="F4F6F8"/>
          </w:tcPr>
          <w:p>
            <w:pPr>
              <w:spacing w:after="20"/>
              <w:jc w:val="both"/>
              <w:bidi w:val="1"/>
            </w:pPr>
            <w:r>
              <w:rPr>
                <w:rtl w:val="1"/>
                <w:rFonts w:cs="Arial"/>
              </w:rPr>
            </w:r>
            <w:r>
              <w:rPr>
                <w:rFonts w:ascii="Arial" w:hAnsi="Arial"/>
                <w:b/>
                <w:color w:val="13283F"/>
                <w:sz w:val="17"/>
                <w:rtl w:val="1"/>
                <w:rFonts w:cs="Arial"/>
              </w:rPr>
              <w:t>الطموح</w:t>
            </w:r>
          </w:p>
        </w:tc>
        <w:tc>
          <w:tcPr>
            <w:tcW w:type="dxa" w:w="7206"/>
            <w:shd w:val="clear" w:fill="F4F6F8"/>
          </w:tcPr>
          <w:p>
            <w:pPr>
              <w:spacing w:after="20"/>
              <w:jc w:val="both"/>
              <w:bidi w:val="1"/>
            </w:pPr>
            <w:r>
              <w:rPr>
                <w:rtl w:val="1"/>
                <w:rFonts w:cs="Arial"/>
              </w:rPr>
            </w:r>
            <w:r>
              <w:rPr>
                <w:rFonts w:ascii="Arial" w:hAnsi="Arial"/>
                <w:color w:val="13283F"/>
                <w:sz w:val="17"/>
                <w:rtl w:val="1"/>
                <w:rFonts w:cs="Arial"/>
              </w:rPr>
              <w:t>بناء شركات ومؤسسات ذات أهمية إقليمية انطلاقًا من عجمان.</w:t>
            </w:r>
          </w:p>
        </w:tc>
      </w:tr>
      <w:tr>
        <w:tc>
          <w:tcPr>
            <w:tcW w:type="dxa" w:w="2772"/>
            <w:shd w:val="clear" w:fill="E9EDF1"/>
          </w:tcPr>
          <w:p>
            <w:pPr>
              <w:spacing w:after="20"/>
              <w:jc w:val="both"/>
              <w:bidi w:val="1"/>
            </w:pPr>
            <w:r>
              <w:rPr>
                <w:rtl w:val="1"/>
                <w:rFonts w:cs="Arial"/>
              </w:rPr>
            </w:r>
            <w:r>
              <w:rPr>
                <w:rFonts w:ascii="Arial" w:hAnsi="Arial"/>
                <w:b/>
                <w:color w:val="13283F"/>
                <w:sz w:val="17"/>
                <w:rtl w:val="1"/>
                <w:rFonts w:cs="Arial"/>
              </w:rPr>
              <w:t>الأثر</w:t>
            </w:r>
          </w:p>
        </w:tc>
        <w:tc>
          <w:tcPr>
            <w:tcW w:type="dxa" w:w="7206"/>
            <w:shd w:val="clear" w:fill="E9EDF1"/>
          </w:tcPr>
          <w:p>
            <w:pPr>
              <w:spacing w:after="20"/>
              <w:jc w:val="both"/>
              <w:bidi w:val="1"/>
            </w:pPr>
            <w:r>
              <w:rPr>
                <w:rtl w:val="1"/>
                <w:rFonts w:cs="Arial"/>
              </w:rPr>
            </w:r>
            <w:r>
              <w:rPr>
                <w:rFonts w:ascii="Arial" w:hAnsi="Arial"/>
                <w:color w:val="13283F"/>
                <w:sz w:val="17"/>
                <w:rtl w:val="1"/>
                <w:rFonts w:cs="Arial"/>
              </w:rPr>
              <w:t>قياس الشركات والوظائف ورأس المال والإيرادات والاستمرارية والنتائج المجتمعية — لا الدعاية وحدها.</w:t>
            </w:r>
          </w:p>
        </w:tc>
      </w:tr>
      <w:tr>
        <w:tc>
          <w:tcPr>
            <w:tcW w:type="dxa" w:w="2772"/>
            <w:shd w:val="clear" w:fill="F4F6F8"/>
          </w:tcPr>
          <w:p>
            <w:pPr>
              <w:spacing w:after="20"/>
              <w:jc w:val="both"/>
              <w:bidi w:val="1"/>
            </w:pPr>
            <w:r>
              <w:rPr>
                <w:rtl w:val="1"/>
                <w:rFonts w:cs="Arial"/>
              </w:rPr>
            </w:r>
            <w:r>
              <w:rPr>
                <w:rFonts w:ascii="Arial" w:hAnsi="Arial"/>
                <w:b/>
                <w:color w:val="13283F"/>
                <w:sz w:val="17"/>
                <w:rtl w:val="1"/>
                <w:rFonts w:cs="Arial"/>
              </w:rPr>
              <w:t>الثقة</w:t>
            </w:r>
          </w:p>
        </w:tc>
        <w:tc>
          <w:tcPr>
            <w:tcW w:type="dxa" w:w="7206"/>
            <w:shd w:val="clear" w:fill="F4F6F8"/>
          </w:tcPr>
          <w:p>
            <w:pPr>
              <w:spacing w:after="20"/>
              <w:jc w:val="both"/>
              <w:bidi w:val="1"/>
            </w:pPr>
            <w:r>
              <w:rPr>
                <w:rtl w:val="1"/>
                <w:rFonts w:cs="Arial"/>
              </w:rPr>
            </w:r>
            <w:r>
              <w:rPr>
                <w:rFonts w:ascii="Arial" w:hAnsi="Arial"/>
                <w:color w:val="13283F"/>
                <w:sz w:val="17"/>
                <w:rtl w:val="1"/>
                <w:rFonts w:cs="Arial"/>
              </w:rPr>
              <w:t>التواصل بدقة مؤسسية وشفافية وانضباط.</w:t>
            </w:r>
          </w:p>
        </w:tc>
      </w:tr>
      <w:tr>
        <w:tc>
          <w:tcPr>
            <w:tcW w:type="dxa" w:w="2772"/>
            <w:shd w:val="clear" w:fill="E9EDF1"/>
          </w:tcPr>
          <w:p>
            <w:pPr>
              <w:spacing w:after="20"/>
              <w:jc w:val="both"/>
              <w:bidi w:val="1"/>
            </w:pPr>
            <w:r>
              <w:rPr>
                <w:rtl w:val="1"/>
                <w:rFonts w:cs="Arial"/>
              </w:rPr>
            </w:r>
            <w:r>
              <w:rPr>
                <w:rFonts w:ascii="Arial" w:hAnsi="Arial"/>
                <w:b/>
                <w:color w:val="13283F"/>
                <w:sz w:val="17"/>
                <w:rtl w:val="1"/>
                <w:rFonts w:cs="Arial"/>
              </w:rPr>
              <w:t>الشراكة</w:t>
            </w:r>
          </w:p>
        </w:tc>
        <w:tc>
          <w:tcPr>
            <w:tcW w:type="dxa" w:w="7206"/>
            <w:shd w:val="clear" w:fill="E9EDF1"/>
          </w:tcPr>
          <w:p>
            <w:pPr>
              <w:spacing w:after="20"/>
              <w:jc w:val="both"/>
              <w:bidi w:val="1"/>
            </w:pPr>
            <w:r>
              <w:rPr>
                <w:rtl w:val="1"/>
                <w:rFonts w:cs="Arial"/>
              </w:rPr>
            </w:r>
            <w:r>
              <w:rPr>
                <w:rFonts w:ascii="Arial" w:hAnsi="Arial"/>
                <w:color w:val="13283F"/>
                <w:sz w:val="17"/>
                <w:rtl w:val="1"/>
                <w:rFonts w:cs="Arial"/>
              </w:rPr>
              <w:t>الربط بين القدرات العامة والخاصة والأكاديمية والاستثمارية والريادية.</w:t>
            </w:r>
          </w:p>
        </w:tc>
      </w:tr>
      <w:tr>
        <w:tc>
          <w:tcPr>
            <w:tcW w:type="dxa" w:w="2772"/>
            <w:shd w:val="clear" w:fill="F4F6F8"/>
          </w:tcPr>
          <w:p>
            <w:pPr>
              <w:spacing w:after="20"/>
              <w:jc w:val="both"/>
              <w:bidi w:val="1"/>
            </w:pPr>
            <w:r>
              <w:rPr>
                <w:rtl w:val="1"/>
                <w:rFonts w:cs="Arial"/>
              </w:rPr>
            </w:r>
            <w:r>
              <w:rPr>
                <w:rFonts w:ascii="Arial" w:hAnsi="Arial"/>
                <w:b/>
                <w:color w:val="13283F"/>
                <w:sz w:val="17"/>
                <w:rtl w:val="1"/>
                <w:rFonts w:cs="Arial"/>
              </w:rPr>
              <w:t>التمكين</w:t>
            </w:r>
          </w:p>
        </w:tc>
        <w:tc>
          <w:tcPr>
            <w:tcW w:type="dxa" w:w="7206"/>
            <w:shd w:val="clear" w:fill="F4F6F8"/>
          </w:tcPr>
          <w:p>
            <w:pPr>
              <w:spacing w:after="20"/>
              <w:jc w:val="both"/>
              <w:bidi w:val="1"/>
            </w:pPr>
            <w:r>
              <w:rPr>
                <w:rtl w:val="1"/>
                <w:rFonts w:cs="Arial"/>
              </w:rPr>
            </w:r>
            <w:r>
              <w:rPr>
                <w:rFonts w:ascii="Arial" w:hAnsi="Arial"/>
                <w:color w:val="13283F"/>
                <w:sz w:val="17"/>
                <w:rtl w:val="1"/>
                <w:rFonts w:cs="Arial"/>
              </w:rPr>
              <w:t>منح المؤسسين البنية التحتية والخبرة وإمكانية الوصول اللازمة للتنفيذ.</w:t>
            </w:r>
          </w:p>
        </w:tc>
      </w:tr>
      <w:tr>
        <w:tc>
          <w:tcPr>
            <w:tcW w:type="dxa" w:w="2772"/>
            <w:shd w:val="clear" w:fill="E9EDF1"/>
          </w:tcPr>
          <w:p>
            <w:pPr>
              <w:spacing w:after="20"/>
              <w:jc w:val="both"/>
              <w:bidi w:val="1"/>
            </w:pPr>
            <w:r>
              <w:rPr>
                <w:rtl w:val="1"/>
                <w:rFonts w:cs="Arial"/>
              </w:rPr>
            </w:r>
            <w:r>
              <w:rPr>
                <w:rFonts w:ascii="Arial" w:hAnsi="Arial"/>
                <w:b/>
                <w:color w:val="13283F"/>
                <w:sz w:val="17"/>
                <w:rtl w:val="1"/>
                <w:rFonts w:cs="Arial"/>
              </w:rPr>
              <w:t>الشمول</w:t>
            </w:r>
          </w:p>
        </w:tc>
        <w:tc>
          <w:tcPr>
            <w:tcW w:type="dxa" w:w="7206"/>
            <w:shd w:val="clear" w:fill="E9EDF1"/>
          </w:tcPr>
          <w:p>
            <w:pPr>
              <w:spacing w:after="20"/>
              <w:jc w:val="both"/>
              <w:bidi w:val="1"/>
            </w:pPr>
            <w:r>
              <w:rPr>
                <w:rtl w:val="1"/>
                <w:rFonts w:cs="Arial"/>
              </w:rPr>
            </w:r>
            <w:r>
              <w:rPr>
                <w:rFonts w:ascii="Arial" w:hAnsi="Arial"/>
                <w:color w:val="13283F"/>
                <w:sz w:val="17"/>
                <w:rtl w:val="1"/>
                <w:rFonts w:cs="Arial"/>
              </w:rPr>
              <w:t>توسيع الفرص لتشمل النساء والشباب ومواطني الدولة وأصحاب الهمم ورواد الأعمال في عجمان ومصفوت والمنامة.</w:t>
            </w:r>
          </w:p>
        </w:tc>
      </w:tr>
    </w:tbl>
    <w:p>
      <w:pPr>
        <w:spacing w:after="80"/>
      </w:pPr>
    </w:p>
    <w:p>
      <w:pPr>
        <w:spacing w:before="220" w:after="80"/>
        <w:jc w:val="right"/>
        <w:bidi w:val="1"/>
      </w:pPr>
      <w:r>
        <w:rPr>
          <w:rFonts w:ascii="Arial" w:hAnsi="Arial"/>
          <w:b/>
          <w:i w:val="0"/>
          <w:color w:val="13283F"/>
          <w:sz w:val="23"/>
          <w:rtl w:val="1"/>
          <w:rFonts w:cs="Arial"/>
        </w:rPr>
        <w:t>ما يجب ألا تصبح عليه ثرا</w:t>
      </w:r>
    </w:p>
    <w:p>
      <w:pPr>
        <w:spacing w:before="0" w:after="100"/>
        <w:jc w:val="both"/>
        <w:bidi w:val="1"/>
      </w:pPr>
      <w:r>
        <w:rPr>
          <w:rFonts w:ascii="Arial" w:hAnsi="Arial"/>
          <w:b w:val="0"/>
          <w:i w:val="0"/>
          <w:color w:val="13283F"/>
          <w:sz w:val="18"/>
          <w:rtl w:val="1"/>
          <w:rFonts w:cs="Arial"/>
        </w:rPr>
        <w:t>مساحة عمل مشترك اعتيادية، أو مبادرة حكومية احتفالية، أو مكان فعاليات، أو برنامج منح، أو صندوق استثماري تقليدي، أو منظومة تُقاس أساسًا بعدد المتابعين والانطباعات والدعاية.</w:t>
      </w:r>
    </w:p>
    <w:p>
      <w:pPr>
        <w:spacing w:before="360" w:after="120"/>
        <w:jc w:val="right"/>
        <w:bidi w:val="1"/>
      </w:pPr>
      <w:r>
        <w:rPr>
          <w:rFonts w:ascii="Arial" w:hAnsi="Arial"/>
          <w:b/>
          <w:i w:val="0"/>
          <w:color w:val="13283F"/>
          <w:sz w:val="34"/>
          <w:rtl w:val="1"/>
          <w:rFonts w:cs="Arial"/>
        </w:rPr>
        <w:t>٣. التموضع والتمايز</w:t>
      </w:r>
    </w:p>
    <w:p>
      <w:pPr>
        <w:spacing w:before="0" w:after="100"/>
        <w:jc w:val="both"/>
        <w:bidi w:val="1"/>
      </w:pPr>
      <w:r>
        <w:rPr>
          <w:rFonts w:ascii="Arial" w:hAnsi="Arial"/>
          <w:b w:val="0"/>
          <w:i w:val="0"/>
          <w:color w:val="13283F"/>
          <w:sz w:val="18"/>
          <w:rtl w:val="1"/>
          <w:rFonts w:cs="Arial"/>
        </w:rPr>
        <w:t>بالنسبة لرواد الأعمال والمنشآت الصغيرة والمتوسطة والمستثمرين والشركات والمؤسسات، فإن ثرا منظومة متكاملة للتنمية الاقتصادية والأعمال تربط البنية التحتية المادية وبناء المشاريع ورأس المال والخدمات المشتركة والمجتمع على منصة واحدة، بخلاف المراكز أو البرامج المنفصلة والمجزّأة.</w:t>
      </w:r>
    </w:p>
    <w:p>
      <w:pPr>
        <w:pStyle w:val="ListBullet"/>
        <w:spacing w:before="0" w:after="40"/>
        <w:jc w:val="both"/>
        <w:bidi w:val="1"/>
      </w:pPr>
      <w:r>
        <w:rPr>
          <w:rFonts w:ascii="Arial" w:hAnsi="Arial"/>
          <w:b w:val="0"/>
          <w:i w:val="0"/>
          <w:color w:val="13283F"/>
          <w:sz w:val="18"/>
          <w:rtl w:val="1"/>
          <w:rFonts w:cs="Arial"/>
        </w:rPr>
        <w:t>رحلة مؤسس متكاملة: الفكرة، والتأسيس، ومساحة العمل، والاحتضان، والتسريع، والجاهزية للاستثمار، ورأس المال، والوصول إلى السوق، والخدمات المشتركة، والتوسع.</w:t>
      </w:r>
    </w:p>
    <w:p>
      <w:pPr>
        <w:pStyle w:val="ListBullet"/>
        <w:spacing w:before="0" w:after="40"/>
        <w:jc w:val="both"/>
        <w:bidi w:val="1"/>
      </w:pPr>
      <w:r>
        <w:rPr>
          <w:rFonts w:ascii="Arial" w:hAnsi="Arial"/>
          <w:b w:val="0"/>
          <w:i w:val="0"/>
          <w:color w:val="13283F"/>
          <w:sz w:val="18"/>
          <w:rtl w:val="1"/>
          <w:rFonts w:cs="Arial"/>
        </w:rPr>
        <w:t>مشاركة في المشاريع قائمة على الملكية ومتوافقة مع الشريعة، مصممة حول الشراكة الحقيقية وخلق القيمة؛ ولا يجوز للوكالة وصف المنتجات بأنها متوافقة مع الشريعة ما لم تكن معتمدة رسميًا.</w:t>
      </w:r>
    </w:p>
    <w:p>
      <w:pPr>
        <w:pStyle w:val="ListBullet"/>
        <w:spacing w:before="0" w:after="40"/>
        <w:jc w:val="both"/>
        <w:bidi w:val="1"/>
      </w:pPr>
      <w:r>
        <w:rPr>
          <w:rFonts w:ascii="Arial" w:hAnsi="Arial"/>
          <w:b w:val="0"/>
          <w:i w:val="0"/>
          <w:color w:val="13283F"/>
          <w:sz w:val="18"/>
          <w:rtl w:val="1"/>
          <w:rFonts w:cs="Arial"/>
        </w:rPr>
        <w:t>دعم عميق للمحفظة من التأسيس مرورًا بالنمو وحتى التخارج المحتمل أو الطرح العام، ويشمل التمويل والموارد البشرية والمبيعات وخدمة العملاء والتسويق وعمليات المكاتب والدعم التقني.</w:t>
      </w:r>
    </w:p>
    <w:p>
      <w:pPr>
        <w:pStyle w:val="ListBullet"/>
        <w:spacing w:before="0" w:after="40"/>
        <w:jc w:val="both"/>
        <w:bidi w:val="1"/>
      </w:pPr>
      <w:r>
        <w:rPr>
          <w:rFonts w:ascii="Arial" w:hAnsi="Arial"/>
          <w:b w:val="0"/>
          <w:i w:val="0"/>
          <w:color w:val="13283F"/>
          <w:sz w:val="18"/>
          <w:rtl w:val="1"/>
          <w:rFonts w:cs="Arial"/>
        </w:rPr>
        <w:t>تمكين جودة الحياة للمؤسسين وفرقهم، بما يشمل السكن والتعليم والرعاية الصحية وشراكات تأشيرات المهمة، حيثما تكون متعاقدًا عليها ومعتمدة رسميًا.</w:t>
      </w:r>
    </w:p>
    <w:p>
      <w:pPr>
        <w:pStyle w:val="ListBullet"/>
        <w:spacing w:before="0" w:after="40"/>
        <w:jc w:val="both"/>
        <w:bidi w:val="1"/>
      </w:pPr>
      <w:r>
        <w:rPr>
          <w:rFonts w:ascii="Arial" w:hAnsi="Arial"/>
          <w:b w:val="0"/>
          <w:i w:val="0"/>
          <w:color w:val="13283F"/>
          <w:sz w:val="18"/>
          <w:rtl w:val="1"/>
          <w:rFonts w:cs="Arial"/>
        </w:rPr>
        <w:t>ارتباط مباشر بالقطاع الخاص وأولويات التنمية الاقتصادية للقطاع العام.</w:t>
      </w:r>
    </w:p>
    <w:p>
      <w:pPr>
        <w:pStyle w:val="ListBullet"/>
        <w:spacing w:before="0" w:after="40"/>
        <w:jc w:val="both"/>
        <w:bidi w:val="1"/>
      </w:pPr>
      <w:r>
        <w:rPr>
          <w:rFonts w:ascii="Arial" w:hAnsi="Arial"/>
          <w:b w:val="0"/>
          <w:i w:val="0"/>
          <w:color w:val="13283F"/>
          <w:sz w:val="18"/>
          <w:rtl w:val="1"/>
          <w:rFonts w:cs="Arial"/>
        </w:rPr>
        <w:t>دعم الشركات التقنية وغير التقنية، والمؤسسين المحليين والوافدين الدوليين.</w:t>
      </w:r>
    </w:p>
    <w:p>
      <w:pPr>
        <w:spacing w:before="360" w:after="120"/>
        <w:jc w:val="right"/>
        <w:bidi w:val="1"/>
      </w:pPr>
      <w:r>
        <w:rPr>
          <w:rFonts w:ascii="Arial" w:hAnsi="Arial"/>
          <w:b/>
          <w:i w:val="0"/>
          <w:color w:val="13283F"/>
          <w:sz w:val="34"/>
          <w:rtl w:val="1"/>
          <w:rFonts w:cs="Arial"/>
        </w:rPr>
        <w:t>٤. هيكل العلامة التجارية</w:t>
      </w:r>
    </w:p>
    <w:p>
      <w:pPr>
        <w:spacing w:before="0" w:after="100"/>
        <w:jc w:val="both"/>
        <w:bidi w:val="1"/>
      </w:pPr>
      <w:r>
        <w:rPr>
          <w:rFonts w:ascii="Arial" w:hAnsi="Arial"/>
          <w:b w:val="0"/>
          <w:i w:val="0"/>
          <w:color w:val="13283F"/>
          <w:sz w:val="18"/>
          <w:rtl w:val="1"/>
          <w:rFonts w:cs="Arial"/>
        </w:rPr>
        <w:t>ستعتمد ثرا هيكلًا هجينًا قائمًا على العلامة الأم. فثرا هي العلامة الأم المهيمنة؛ ولكل شركة تشغيلية وظيفة واضحة وتعبير مميز مع بقائها جزءًا لا يُخطئه أحد من منظومة واحدة. وعلى الوكالة اختبار وترسيخ نظام اعتماد مثل «ثرا هَب — إحدى شركات ثرا».</w:t>
      </w:r>
    </w:p>
    <w:tbl>
      <w:tblPr>
        <w:tblStyle w:val="TableGrid"/>
        <w:tblW w:type="auto" w:w="0"/>
        <w:jc w:val="center"/>
        <w:tblLayout w:type="fixed"/>
        <w:tblLook w:firstColumn="1" w:firstRow="1" w:lastColumn="0" w:lastRow="0" w:noHBand="0" w:noVBand="1" w:val="04A0"/>
        <w:bidiVisual/>
      </w:tblPr>
      <w:tblGrid>
        <w:gridCol w:w="1995"/>
        <w:gridCol w:w="4435"/>
        <w:gridCol w:w="3548"/>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الكيان</w:t>
            </w:r>
          </w:p>
        </w:tc>
        <w:tc>
          <w:tcPr>
            <w:tcW w:type="dxa" w:w="4435"/>
            <w:shd w:val="clear" w:fill="13283F"/>
          </w:tcPr>
          <w:p>
            <w:pPr>
              <w:spacing w:after="20"/>
              <w:jc w:val="both"/>
              <w:bidi w:val="1"/>
            </w:pPr>
            <w:r>
              <w:rPr>
                <w:rtl w:val="1"/>
                <w:rFonts w:cs="Arial"/>
              </w:rPr>
            </w:r>
            <w:r>
              <w:rPr>
                <w:rFonts w:ascii="Arial" w:hAnsi="Arial"/>
                <w:b/>
                <w:color w:val="FFFFFF"/>
                <w:sz w:val="17"/>
                <w:rtl w:val="1"/>
                <w:rFonts w:cs="Arial"/>
              </w:rPr>
              <w:t>التفويض</w:t>
            </w:r>
          </w:p>
        </w:tc>
        <w:tc>
          <w:tcPr>
            <w:tcW w:type="dxa" w:w="3548"/>
            <w:shd w:val="clear" w:fill="13283F"/>
          </w:tcPr>
          <w:p>
            <w:pPr>
              <w:spacing w:after="20"/>
              <w:jc w:val="both"/>
              <w:bidi w:val="1"/>
            </w:pPr>
            <w:r>
              <w:rPr>
                <w:rtl w:val="1"/>
                <w:rFonts w:cs="Arial"/>
              </w:rPr>
            </w:r>
            <w:r>
              <w:rPr>
                <w:rFonts w:ascii="Arial" w:hAnsi="Arial"/>
                <w:b/>
                <w:color w:val="FFFFFF"/>
                <w:sz w:val="17"/>
                <w:rtl w:val="1"/>
                <w:rFonts w:cs="Arial"/>
              </w:rPr>
              <w:t>الجماهير الأساسية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ثرا القابضة</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الشركة الأم؛ استراتيجية المجموعة والحوكمة والإشراف على الأداء والعلاقات المؤسسية.</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غرفة عجمان، ومجلس الإدارة، والجهات الحكومية، والشركاء الاستراتيجيين، والمستثمرين.</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ثرا هَب</w:t>
            </w:r>
          </w:p>
        </w:tc>
        <w:tc>
          <w:tcPr>
            <w:tcW w:type="dxa" w:w="4435"/>
            <w:shd w:val="clear" w:fill="E9EDF1"/>
          </w:tcPr>
          <w:p>
            <w:pPr>
              <w:spacing w:after="20"/>
              <w:jc w:val="both"/>
              <w:bidi w:val="1"/>
            </w:pPr>
            <w:r>
              <w:rPr>
                <w:rtl w:val="1"/>
                <w:rFonts w:cs="Arial"/>
              </w:rPr>
            </w:r>
            <w:r>
              <w:rPr>
                <w:rFonts w:ascii="Arial" w:hAnsi="Arial"/>
                <w:color w:val="13283F"/>
                <w:sz w:val="17"/>
                <w:rtl w:val="1"/>
                <w:rFonts w:cs="Arial"/>
              </w:rPr>
              <w:t>المنصة المادية والتجارية للأعمال والابتكار والمجتمع؛ مكاتب ومقاعد عمل واجتماعات وتدريب وفعاليات وبرامج مؤسسية.</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المؤسسون، والمنشآت الصغيرة والمتوسطة، والشركات، والبرامج الحكومية، وأفراد المجتمع.</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ثرا إكس</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بناء المشاريع والاحتضان والتسريع؛ نموذج مستهدف من دفعتين سنويًا مدة كل منهما ١٦ أسبوعًا، بواقع ٣٠ مشروعًا لكل دفعة، يتبعه دعم الخريجين.</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الشركات الناشئة، ومؤسسو المنشآت الصغيرة والمتوسطة، والموجّهون، والجامعات، وشركاء المنظومة.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ثرا كابيتال</w:t>
            </w:r>
          </w:p>
        </w:tc>
        <w:tc>
          <w:tcPr>
            <w:tcW w:type="dxa" w:w="4435"/>
            <w:shd w:val="clear" w:fill="E9EDF1"/>
          </w:tcPr>
          <w:p>
            <w:pPr>
              <w:spacing w:after="20"/>
              <w:jc w:val="both"/>
              <w:bidi w:val="1"/>
            </w:pPr>
            <w:r>
              <w:rPr>
                <w:rtl w:val="1"/>
                <w:rFonts w:cs="Arial"/>
              </w:rPr>
            </w:r>
            <w:r>
              <w:rPr>
                <w:rFonts w:ascii="Arial" w:hAnsi="Arial"/>
                <w:color w:val="13283F"/>
                <w:sz w:val="17"/>
                <w:rtl w:val="1"/>
                <w:rFonts w:cs="Arial"/>
              </w:rPr>
              <w:t>منصة استثمار منضبط ورأس مال استراتيجي تدعم الفرص المختارة ونمو المحفظة.</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المؤسسون، والمستثمرون المشاركون، ومكاتب العائلات، والمؤسسات، والمستثمرون الاستراتيجيون.</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ثرا إكسبيريَنس</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منصة الخدمات المشتركة والتعهيد ودعم الأعمال؛ الكيان الموظِّف المزمع لموظفي المجموعة ومزود الدعم التشغيلي.</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كيانات ثرا، وشركات المحفظة، والمنشآت الصغيرة والمتوسطة، والشركات، والجهات الحكومية.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مؤسسة ثرا</w:t>
            </w:r>
          </w:p>
        </w:tc>
        <w:tc>
          <w:tcPr>
            <w:tcW w:type="dxa" w:w="4435"/>
            <w:shd w:val="clear" w:fill="E9EDF1"/>
          </w:tcPr>
          <w:p>
            <w:pPr>
              <w:spacing w:after="20"/>
              <w:jc w:val="both"/>
              <w:bidi w:val="1"/>
            </w:pPr>
            <w:r>
              <w:rPr>
                <w:rtl w:val="1"/>
                <w:rFonts w:cs="Arial"/>
              </w:rPr>
            </w:r>
            <w:r>
              <w:rPr>
                <w:rFonts w:ascii="Arial" w:hAnsi="Arial"/>
                <w:color w:val="13283F"/>
                <w:sz w:val="17"/>
                <w:rtl w:val="1"/>
                <w:rFonts w:cs="Arial"/>
              </w:rPr>
              <w:t>ذراع الأثر الاجتماعي والتنمية المجتمعية.</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المجتمعات، والشباب، والنساء، ومواطنو الدولة، وأصحاب الهمم، والطلبة، والمانحون، والشركاء المؤسسيون.</w:t>
            </w:r>
          </w:p>
        </w:tc>
      </w:tr>
    </w:tbl>
    <w:p>
      <w:pPr>
        <w:spacing w:after="80"/>
      </w:pPr>
    </w:p>
    <w:p>
      <w:pPr>
        <w:spacing w:before="220" w:after="80"/>
        <w:jc w:val="right"/>
        <w:bidi w:val="1"/>
      </w:pPr>
      <w:r>
        <w:rPr>
          <w:rFonts w:ascii="Arial" w:hAnsi="Arial"/>
          <w:b/>
          <w:i w:val="0"/>
          <w:color w:val="13283F"/>
          <w:sz w:val="23"/>
          <w:rtl w:val="1"/>
          <w:rFonts w:cs="Arial"/>
        </w:rPr>
        <w:t>ملاحظة بشأن التسمية</w:t>
      </w:r>
    </w:p>
    <w:p>
      <w:pPr>
        <w:spacing w:before="0" w:after="100"/>
        <w:jc w:val="both"/>
        <w:bidi w:val="1"/>
      </w:pPr>
      <w:r>
        <w:rPr>
          <w:rFonts w:ascii="Arial" w:hAnsi="Arial"/>
          <w:b w:val="0"/>
          <w:i w:val="0"/>
          <w:color w:val="13283F"/>
          <w:sz w:val="18"/>
          <w:rtl w:val="1"/>
          <w:rFonts w:cs="Arial"/>
        </w:rPr>
        <w:t>يجب أن تستخدم جميع المراجع الإنجليزية صيغة «Tharaa». وعلى الوكالة المعتمدة التحقق من التسمية العربية النهائية والنقل الحرفي وطريقة عرض الاسم القانوني وأوصاف الكيانات مقابل وثائق التأسيس قبل الإطلاق العلني.</w:t>
      </w:r>
    </w:p>
    <w:p>
      <w:pPr>
        <w:spacing w:before="360" w:after="120"/>
        <w:jc w:val="right"/>
        <w:bidi w:val="1"/>
      </w:pPr>
      <w:r>
        <w:rPr>
          <w:rFonts w:ascii="Arial" w:hAnsi="Arial"/>
          <w:b/>
          <w:i w:val="0"/>
          <w:color w:val="13283F"/>
          <w:sz w:val="34"/>
          <w:rtl w:val="1"/>
          <w:rFonts w:cs="Arial"/>
        </w:rPr>
        <w:t>٥. الجماهير ذات الأولوية</w:t>
      </w:r>
    </w:p>
    <w:tbl>
      <w:tblPr>
        <w:tblStyle w:val="TableGrid"/>
        <w:tblW w:type="auto" w:w="0"/>
        <w:jc w:val="center"/>
        <w:tblLayout w:type="fixed"/>
        <w:tblLook w:firstColumn="1" w:firstRow="1" w:lastColumn="0" w:lastRow="0" w:noHBand="0" w:noVBand="1" w:val="04A0"/>
        <w:bidiVisual/>
      </w:tblPr>
      <w:tblGrid>
        <w:gridCol w:w="1108"/>
        <w:gridCol w:w="2882"/>
        <w:gridCol w:w="5987"/>
      </w:tblGrid>
      <w:tr>
        <w:tc>
          <w:tcPr>
            <w:tcW w:type="dxa" w:w="1109"/>
            <w:shd w:val="clear" w:fill="13283F"/>
          </w:tcPr>
          <w:p>
            <w:pPr>
              <w:spacing w:after="20"/>
              <w:jc w:val="both"/>
              <w:bidi w:val="1"/>
            </w:pPr>
            <w:r>
              <w:rPr>
                <w:rtl w:val="1"/>
                <w:rFonts w:cs="Arial"/>
              </w:rPr>
            </w:r>
            <w:r>
              <w:rPr>
                <w:rFonts w:ascii="Arial" w:hAnsi="Arial"/>
                <w:b/>
                <w:color w:val="FFFFFF"/>
                <w:sz w:val="17"/>
                <w:rtl w:val="1"/>
                <w:rFonts w:cs="Arial"/>
              </w:rPr>
              <w:t>الأولوية</w:t>
            </w:r>
          </w:p>
        </w:tc>
        <w:tc>
          <w:tcPr>
            <w:tcW w:type="dxa" w:w="2883"/>
            <w:shd w:val="clear" w:fill="13283F"/>
          </w:tcPr>
          <w:p>
            <w:pPr>
              <w:spacing w:after="20"/>
              <w:jc w:val="both"/>
              <w:bidi w:val="1"/>
            </w:pPr>
            <w:r>
              <w:rPr>
                <w:rtl w:val="1"/>
                <w:rFonts w:cs="Arial"/>
              </w:rPr>
            </w:r>
            <w:r>
              <w:rPr>
                <w:rFonts w:ascii="Arial" w:hAnsi="Arial"/>
                <w:b/>
                <w:color w:val="FFFFFF"/>
                <w:sz w:val="17"/>
                <w:rtl w:val="1"/>
                <w:rFonts w:cs="Arial"/>
              </w:rPr>
              <w:t>الجمهور</w:t>
            </w:r>
          </w:p>
        </w:tc>
        <w:tc>
          <w:tcPr>
            <w:tcW w:type="dxa" w:w="5987"/>
            <w:shd w:val="clear" w:fill="13283F"/>
          </w:tcPr>
          <w:p>
            <w:pPr>
              <w:spacing w:after="20"/>
              <w:jc w:val="both"/>
              <w:bidi w:val="1"/>
            </w:pPr>
            <w:r>
              <w:rPr>
                <w:rtl w:val="1"/>
                <w:rFonts w:cs="Arial"/>
              </w:rPr>
            </w:r>
            <w:r>
              <w:rPr>
                <w:rFonts w:ascii="Arial" w:hAnsi="Arial"/>
                <w:b/>
                <w:color w:val="FFFFFF"/>
                <w:sz w:val="17"/>
                <w:rtl w:val="1"/>
                <w:rFonts w:cs="Arial"/>
              </w:rPr>
              <w:t>ما تقدمه ثرا</w:t>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w:t>
            </w:r>
          </w:p>
        </w:tc>
        <w:tc>
          <w:tcPr>
            <w:tcW w:type="dxa" w:w="2883"/>
            <w:shd w:val="clear" w:fill="F4F6F8"/>
          </w:tcPr>
          <w:p>
            <w:pPr>
              <w:spacing w:after="20"/>
              <w:jc w:val="both"/>
              <w:bidi w:val="1"/>
            </w:pPr>
            <w:r>
              <w:rPr>
                <w:rtl w:val="1"/>
                <w:rFonts w:cs="Arial"/>
              </w:rPr>
            </w:r>
            <w:r>
              <w:rPr>
                <w:rFonts w:ascii="Arial" w:hAnsi="Arial"/>
                <w:color w:val="13283F"/>
                <w:sz w:val="17"/>
                <w:rtl w:val="1"/>
                <w:rFonts w:cs="Arial"/>
              </w:rPr>
              <w:t>مؤسسو الشركات الناشئة والمنشآت الصغيرة والمتوسطة</w:t>
            </w:r>
          </w:p>
        </w:tc>
        <w:tc>
          <w:tcPr>
            <w:tcW w:type="dxa" w:w="5987"/>
            <w:shd w:val="clear" w:fill="F4F6F8"/>
          </w:tcPr>
          <w:p>
            <w:pPr>
              <w:spacing w:after="20"/>
              <w:jc w:val="both"/>
              <w:bidi w:val="1"/>
            </w:pPr>
            <w:r>
              <w:rPr>
                <w:rtl w:val="1"/>
                <w:rFonts w:cs="Arial"/>
              </w:rPr>
            </w:r>
            <w:r>
              <w:rPr>
                <w:rFonts w:ascii="Arial" w:hAnsi="Arial"/>
                <w:color w:val="13283F"/>
                <w:sz w:val="17"/>
                <w:rtl w:val="1"/>
                <w:rFonts w:cs="Arial"/>
              </w:rPr>
              <w:t>منصة متكاملة توفر مساحات العمل والاحتضان والتسريع وخدمات الأعمال والموجّهين والشبكات والوصول إلى رأس المال.</w:t>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w:t>
            </w:r>
          </w:p>
        </w:tc>
        <w:tc>
          <w:tcPr>
            <w:tcW w:type="dxa" w:w="2883"/>
            <w:shd w:val="clear" w:fill="E9EDF1"/>
          </w:tcPr>
          <w:p>
            <w:pPr>
              <w:spacing w:after="20"/>
              <w:jc w:val="both"/>
              <w:bidi w:val="1"/>
            </w:pPr>
            <w:r>
              <w:rPr>
                <w:rtl w:val="1"/>
                <w:rFonts w:cs="Arial"/>
              </w:rPr>
            </w:r>
            <w:r>
              <w:rPr>
                <w:rFonts w:ascii="Arial" w:hAnsi="Arial"/>
                <w:color w:val="13283F"/>
                <w:sz w:val="17"/>
                <w:rtl w:val="1"/>
                <w:rFonts w:cs="Arial"/>
              </w:rPr>
              <w:t>المستثمرون بجميع فئاتهم</w:t>
            </w:r>
          </w:p>
        </w:tc>
        <w:tc>
          <w:tcPr>
            <w:tcW w:type="dxa" w:w="5987"/>
            <w:shd w:val="clear" w:fill="E9EDF1"/>
          </w:tcPr>
          <w:p>
            <w:pPr>
              <w:spacing w:after="20"/>
              <w:jc w:val="both"/>
              <w:bidi w:val="1"/>
            </w:pPr>
            <w:r>
              <w:rPr>
                <w:rtl w:val="1"/>
                <w:rFonts w:cs="Arial"/>
              </w:rPr>
            </w:r>
            <w:r>
              <w:rPr>
                <w:rFonts w:ascii="Arial" w:hAnsi="Arial"/>
                <w:color w:val="13283F"/>
                <w:sz w:val="17"/>
                <w:rtl w:val="1"/>
                <w:rFonts w:cs="Arial"/>
              </w:rPr>
              <w:t>مصدر منظّم للفرص الاستثمارية، والوصول إلى السوق المحلي، ومعلومات المنظومة، وإمكانات الاستثمار المشترك، ودعم المحفظة.</w:t>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٣</w:t>
            </w:r>
          </w:p>
        </w:tc>
        <w:tc>
          <w:tcPr>
            <w:tcW w:type="dxa" w:w="2883"/>
            <w:shd w:val="clear" w:fill="F4F6F8"/>
          </w:tcPr>
          <w:p>
            <w:pPr>
              <w:spacing w:after="20"/>
              <w:jc w:val="both"/>
              <w:bidi w:val="1"/>
            </w:pPr>
            <w:r>
              <w:rPr>
                <w:rtl w:val="1"/>
                <w:rFonts w:cs="Arial"/>
              </w:rPr>
            </w:r>
            <w:r>
              <w:rPr>
                <w:rFonts w:ascii="Arial" w:hAnsi="Arial"/>
                <w:color w:val="13283F"/>
                <w:sz w:val="17"/>
                <w:rtl w:val="1"/>
                <w:rFonts w:cs="Arial"/>
              </w:rPr>
              <w:t>حكومة عجمان والشركات والمؤسسات</w:t>
            </w:r>
          </w:p>
        </w:tc>
        <w:tc>
          <w:tcPr>
            <w:tcW w:type="dxa" w:w="5987"/>
            <w:shd w:val="clear" w:fill="F4F6F8"/>
          </w:tcPr>
          <w:p>
            <w:pPr>
              <w:spacing w:after="20"/>
              <w:jc w:val="both"/>
              <w:bidi w:val="1"/>
            </w:pPr>
            <w:r>
              <w:rPr>
                <w:rtl w:val="1"/>
                <w:rFonts w:cs="Arial"/>
              </w:rPr>
            </w:r>
            <w:r>
              <w:rPr>
                <w:rFonts w:ascii="Arial" w:hAnsi="Arial"/>
                <w:color w:val="13283F"/>
                <w:sz w:val="17"/>
                <w:rtl w:val="1"/>
                <w:rFonts w:cs="Arial"/>
              </w:rPr>
              <w:t>منصة لتنفيذ أهداف التنمية الاقتصادية بنتائج قابلة للقياس عبر الشركات والوظائف والاستثمار وريادة الأعمال والمشاركة المجتمعية.</w:t>
            </w:r>
          </w:p>
        </w:tc>
      </w:tr>
    </w:tbl>
    <w:p>
      <w:pPr>
        <w:spacing w:after="80"/>
      </w:pPr>
    </w:p>
    <w:p>
      <w:pPr>
        <w:spacing w:before="360" w:after="120"/>
        <w:jc w:val="right"/>
        <w:bidi w:val="1"/>
      </w:pPr>
      <w:r>
        <w:rPr>
          <w:rFonts w:ascii="Arial" w:hAnsi="Arial"/>
          <w:b/>
          <w:i w:val="0"/>
          <w:color w:val="13283F"/>
          <w:sz w:val="34"/>
          <w:rtl w:val="1"/>
          <w:rFonts w:cs="Arial"/>
        </w:rPr>
        <w:t>٦. إطار الرسائل</w:t>
      </w:r>
    </w:p>
    <w:tbl>
      <w:tblPr>
        <w:tblStyle w:val="TableGrid"/>
        <w:tblW w:type="auto" w:w="0"/>
        <w:jc w:val="center"/>
        <w:tblLayout w:type="fixed"/>
        <w:tblLook w:firstColumn="1" w:firstRow="1" w:lastColumn="0" w:lastRow="0" w:noHBand="0" w:noVBand="1" w:val="04A0"/>
        <w:bidiVisual/>
      </w:tblPr>
      <w:tblGrid>
        <w:gridCol w:w="2217"/>
        <w:gridCol w:w="7761"/>
      </w:tblGrid>
      <w:tr>
        <w:tc>
          <w:tcPr>
            <w:tcW w:type="dxa" w:w="2217"/>
            <w:shd w:val="clear" w:fill="13283F"/>
          </w:tcPr>
          <w:p>
            <w:pPr>
              <w:spacing w:after="20"/>
              <w:jc w:val="both"/>
              <w:bidi w:val="1"/>
            </w:pPr>
            <w:r>
              <w:rPr>
                <w:rtl w:val="1"/>
                <w:rFonts w:cs="Arial"/>
              </w:rPr>
            </w:r>
            <w:r>
              <w:rPr>
                <w:rFonts w:ascii="Arial" w:hAnsi="Arial"/>
                <w:b/>
                <w:color w:val="FFFFFF"/>
                <w:sz w:val="17"/>
                <w:rtl w:val="1"/>
                <w:rFonts w:cs="Arial"/>
              </w:rPr>
              <w:t>المحور</w:t>
            </w:r>
          </w:p>
        </w:tc>
        <w:tc>
          <w:tcPr>
            <w:tcW w:type="dxa" w:w="7761"/>
            <w:shd w:val="clear" w:fill="13283F"/>
          </w:tcPr>
          <w:p>
            <w:pPr>
              <w:spacing w:after="20"/>
              <w:jc w:val="both"/>
              <w:bidi w:val="1"/>
            </w:pPr>
            <w:r>
              <w:rPr>
                <w:rtl w:val="1"/>
                <w:rFonts w:cs="Arial"/>
              </w:rPr>
            </w:r>
            <w:r>
              <w:rPr>
                <w:rFonts w:ascii="Arial" w:hAnsi="Arial"/>
                <w:b/>
                <w:color w:val="FFFFFF"/>
                <w:sz w:val="17"/>
                <w:rtl w:val="1"/>
                <w:rFonts w:cs="Arial"/>
              </w:rPr>
              <w:t>الرسالة</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الرسالة الرئيسية</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تربط ثرا بين المشاريع وريادة الأعمال والاستثمار والأثر في منظومة واحدة مصممة لتحويل الفرصة إلى قيمة اقتصادية مستدامة.</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ريادة الأعمال</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تمنح ثرا المؤسسين رحلة مترابطة من الفكرة إلى الاحتضان والتسريع والوصول إلى السوق والخدمات والاستثمار.</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الاستثمار</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تربط ثرا كابيتال الأعمال والفرص الواعدة برأس مال منضبط ودعم استراتيجي وشبكات المستثمرين.</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التنمية الاقتصادية</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تعزز ثرا القطاع الخاص عبر مساعدة الشركات على التأسيس والنمو والاستثمار والتوظيف والمساهمة في اقتصاد عجمان.</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البُعد الدولي</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توفر ثرا للشركات والمؤسسين والمستثمرين الإقليميين والدوليين بوابة مترابطة إلى عجمان والإمارات والشرق الأوسط الأوسع.</w:t>
            </w:r>
          </w:p>
        </w:tc>
      </w:tr>
    </w:tbl>
    <w:p>
      <w:pPr>
        <w:spacing w:after="80"/>
      </w:pPr>
    </w:p>
    <w:p>
      <w:pPr>
        <w:spacing w:before="360" w:after="120"/>
        <w:jc w:val="right"/>
        <w:bidi w:val="1"/>
      </w:pPr>
      <w:r>
        <w:rPr>
          <w:rFonts w:ascii="Arial" w:hAnsi="Arial"/>
          <w:b/>
          <w:i w:val="0"/>
          <w:color w:val="13283F"/>
          <w:sz w:val="34"/>
          <w:rtl w:val="1"/>
          <w:rFonts w:cs="Arial"/>
        </w:rPr>
        <w:t>٧. النبرة واللغة والسياسة التحريرية</w:t>
      </w:r>
    </w:p>
    <w:p>
      <w:pPr>
        <w:pStyle w:val="ListBullet"/>
        <w:spacing w:before="0" w:after="40"/>
        <w:jc w:val="both"/>
        <w:bidi w:val="1"/>
      </w:pPr>
      <w:r>
        <w:rPr>
          <w:rFonts w:ascii="Arial" w:hAnsi="Arial"/>
          <w:b w:val="0"/>
          <w:i w:val="0"/>
          <w:color w:val="13283F"/>
          <w:sz w:val="18"/>
          <w:rtl w:val="1"/>
          <w:rFonts w:cs="Arial"/>
        </w:rPr>
        <w:t>النبرة العامة: واثقة.</w:t>
      </w:r>
    </w:p>
    <w:p>
      <w:pPr>
        <w:pStyle w:val="ListBullet"/>
        <w:spacing w:before="0" w:after="40"/>
        <w:jc w:val="both"/>
        <w:bidi w:val="1"/>
      </w:pPr>
      <w:r>
        <w:rPr>
          <w:rFonts w:ascii="Arial" w:hAnsi="Arial"/>
          <w:b w:val="0"/>
          <w:i w:val="0"/>
          <w:color w:val="13283F"/>
          <w:sz w:val="18"/>
          <w:rtl w:val="1"/>
          <w:rFonts w:cs="Arial"/>
        </w:rPr>
        <w:t>ثنائية اللغة دائمًا: عربية فصيحة عالية الجودة وإنجليزية احترافية، مُكيَّفة لا مترجمة حرفيًا.</w:t>
      </w:r>
    </w:p>
    <w:p>
      <w:pPr>
        <w:pStyle w:val="ListBullet"/>
        <w:spacing w:before="0" w:after="40"/>
        <w:jc w:val="both"/>
        <w:bidi w:val="1"/>
      </w:pPr>
      <w:r>
        <w:rPr>
          <w:rFonts w:ascii="Arial" w:hAnsi="Arial"/>
          <w:b w:val="0"/>
          <w:i w:val="0"/>
          <w:color w:val="13283F"/>
          <w:sz w:val="18"/>
          <w:rtl w:val="1"/>
          <w:rFonts w:cs="Arial"/>
        </w:rPr>
        <w:t>التصدير بالنتائج والأدلة. وتجنّب اللغة الاحتفالية وصيغ التفضيل المبالغ فيها ولغة استقطاب الاستثمار والادعاءات غير المدعومة.</w:t>
      </w:r>
    </w:p>
    <w:p>
      <w:pPr>
        <w:pStyle w:val="ListBullet"/>
        <w:spacing w:before="0" w:after="40"/>
        <w:jc w:val="both"/>
        <w:bidi w:val="1"/>
      </w:pPr>
      <w:r>
        <w:rPr>
          <w:rFonts w:ascii="Arial" w:hAnsi="Arial"/>
          <w:b w:val="0"/>
          <w:i w:val="0"/>
          <w:color w:val="13283F"/>
          <w:sz w:val="18"/>
          <w:rtl w:val="1"/>
          <w:rFonts w:cs="Arial"/>
        </w:rPr>
        <w:t>استخدام الشعارات الرسمية والحكومية بشكل صارم وفق قواعد العلامة والبروتوكول المعتمدة.</w:t>
      </w:r>
    </w:p>
    <w:p>
      <w:pPr>
        <w:pStyle w:val="ListBullet"/>
        <w:spacing w:before="0" w:after="40"/>
        <w:jc w:val="both"/>
        <w:bidi w:val="1"/>
      </w:pPr>
      <w:r>
        <w:rPr>
          <w:rFonts w:ascii="Arial" w:hAnsi="Arial"/>
          <w:b w:val="0"/>
          <w:i w:val="0"/>
          <w:color w:val="13283F"/>
          <w:sz w:val="18"/>
          <w:rtl w:val="1"/>
          <w:rFonts w:cs="Arial"/>
        </w:rPr>
        <w:t>المجال الأساسي للشعار النصي: الاستثمار. وعلى الوكالة تقديم ثلاثة خيارات ثنائية اللغة على الأقل، مع المبررات والفحوص اللغوية وفحص العلامات التجارية والنطاقات.</w:t>
      </w:r>
    </w:p>
    <w:p>
      <w:pPr>
        <w:pStyle w:val="ListBullet"/>
        <w:spacing w:before="0" w:after="40"/>
        <w:jc w:val="both"/>
        <w:bidi w:val="1"/>
      </w:pPr>
      <w:r>
        <w:rPr>
          <w:rFonts w:ascii="Arial" w:hAnsi="Arial"/>
          <w:b w:val="0"/>
          <w:i w:val="0"/>
          <w:color w:val="13283F"/>
          <w:sz w:val="18"/>
          <w:rtl w:val="1"/>
          <w:rFonts w:cs="Arial"/>
        </w:rPr>
        <w:t>تتطلب جميع الأسماء والألقاب والاقتباسات والإحصاءات والشراكات والالتزامات تحققًا خطيًا قبل النشر.</w:t>
      </w:r>
    </w:p>
    <w:p>
      <w:pPr>
        <w:spacing w:before="360" w:after="120"/>
        <w:jc w:val="right"/>
        <w:bidi w:val="1"/>
      </w:pPr>
      <w:r>
        <w:rPr>
          <w:rFonts w:ascii="Arial" w:hAnsi="Arial"/>
          <w:b/>
          <w:i w:val="0"/>
          <w:color w:val="13283F"/>
          <w:sz w:val="34"/>
          <w:rtl w:val="1"/>
          <w:rFonts w:cs="Arial"/>
        </w:rPr>
        <w:t>٨. نطاق العمل</w:t>
      </w:r>
    </w:p>
    <w:p>
      <w:pPr>
        <w:spacing w:before="0" w:after="100"/>
        <w:jc w:val="both"/>
        <w:bidi w:val="1"/>
      </w:pPr>
      <w:r>
        <w:rPr>
          <w:rFonts w:ascii="Arial" w:hAnsi="Arial"/>
          <w:b w:val="0"/>
          <w:i w:val="0"/>
          <w:color w:val="13283F"/>
          <w:sz w:val="18"/>
          <w:rtl w:val="1"/>
          <w:rFonts w:cs="Arial"/>
        </w:rPr>
        <w:t>الحزمة الأولى هي المتطلب الأساسي. أما الحزمة الثانية فهي إضافة اختيارية مسعّرة بشكل منفصل لإدارة وسائل التواصل الاجتماعي، ويجوز لثرا ترسيتها على مورّد الحزمة الأولى، أو على مورّد آخر، أو تقسيمها على مراحل، أو التفاوض بشأنها، أو عدم ترسيتها. ويجوز لمقدم العرض اقتراح الحزمة الثانية دون جعل أي جزء من الحزمة الأولى متوقفًا على تعيينه لإدارة وسائل التواصل. ويجب أن تكون كل حزمة مقدَّمة مكتفية بذاتها وقابلة للتقييم بشكل مستقل.</w:t>
      </w:r>
    </w:p>
    <w:p>
      <w:pPr>
        <w:spacing w:before="220" w:after="80"/>
        <w:jc w:val="right"/>
        <w:bidi w:val="1"/>
      </w:pPr>
      <w:r>
        <w:rPr>
          <w:rFonts w:ascii="Arial" w:hAnsi="Arial"/>
          <w:b/>
          <w:i w:val="0"/>
          <w:color w:val="13283F"/>
          <w:sz w:val="23"/>
          <w:rtl w:val="1"/>
          <w:rFonts w:cs="Arial"/>
        </w:rPr>
        <w:t>الحزمة الأولى — الهوية المؤسسية واستراتيجية العلامة والإعلام والعلاقات العامة</w:t>
      </w:r>
    </w:p>
    <w:p>
      <w:pPr>
        <w:pStyle w:val="ListBullet"/>
        <w:spacing w:before="0" w:after="40"/>
        <w:jc w:val="both"/>
        <w:bidi w:val="1"/>
      </w:pPr>
      <w:r>
        <w:rPr>
          <w:rFonts w:ascii="Arial" w:hAnsi="Arial"/>
          <w:b w:val="0"/>
          <w:i w:val="0"/>
          <w:color w:val="13283F"/>
          <w:sz w:val="18"/>
          <w:rtl w:val="1"/>
          <w:rFonts w:cs="Arial"/>
        </w:rPr>
        <w:t>الاستكشاف ومواءمة أصحاب المصلحة: مقابلات مع غرفة عجمان وقيادة ثرا ورؤساء الشركات التشغيلية؛ وبحوث الجمهور؛ ومراجعة السوق والمنافسين؛ وتدقيق الاتصال؛ وورشة المخاطر.</w:t>
      </w:r>
    </w:p>
    <w:p>
      <w:pPr>
        <w:pStyle w:val="ListBullet"/>
        <w:spacing w:before="0" w:after="40"/>
        <w:jc w:val="both"/>
        <w:bidi w:val="1"/>
      </w:pPr>
      <w:r>
        <w:rPr>
          <w:rFonts w:ascii="Arial" w:hAnsi="Arial"/>
          <w:b w:val="0"/>
          <w:i w:val="0"/>
          <w:color w:val="13283F"/>
          <w:sz w:val="18"/>
          <w:rtl w:val="1"/>
          <w:rFonts w:cs="Arial"/>
        </w:rPr>
        <w:t>استراتيجية العلامة: الغرض والتموضع والوعد والقيم والشخصية وعروض القيمة للجماهير وتسلسل الرسائل ونقاط الإثبات والتمايز للعلامة الأم وجميع الشركات التشغيلية الخمس.</w:t>
      </w:r>
    </w:p>
    <w:p>
      <w:pPr>
        <w:pStyle w:val="ListBullet"/>
        <w:spacing w:before="0" w:after="40"/>
        <w:jc w:val="both"/>
        <w:bidi w:val="1"/>
      </w:pPr>
      <w:r>
        <w:rPr>
          <w:rFonts w:ascii="Arial" w:hAnsi="Arial"/>
          <w:b w:val="0"/>
          <w:i w:val="0"/>
          <w:color w:val="13283F"/>
          <w:sz w:val="18"/>
          <w:rtl w:val="1"/>
          <w:rFonts w:cs="Arial"/>
        </w:rPr>
        <w:t>هيكل العلامة: منطق التسمية ونظام الاعتماد وقواعد الأسماء القانونية والتراكيب العربية/الإنجليزية وحوكمة الكيانات والبرامج والصناديق والدفعات والمبادرات المستقبلية.</w:t>
      </w:r>
    </w:p>
    <w:p>
      <w:pPr>
        <w:pStyle w:val="ListBullet"/>
        <w:spacing w:before="0" w:after="40"/>
        <w:jc w:val="both"/>
        <w:bidi w:val="1"/>
      </w:pPr>
      <w:r>
        <w:rPr>
          <w:rFonts w:ascii="Arial" w:hAnsi="Arial"/>
          <w:b w:val="0"/>
          <w:i w:val="0"/>
          <w:color w:val="13283F"/>
          <w:sz w:val="18"/>
          <w:rtl w:val="1"/>
          <w:rFonts w:cs="Arial"/>
        </w:rPr>
        <w:t>الهوية البصرية: العلامة الأم وهويات متسقة لثرا القابضة وهَب وإكس وكابيتال وإكسبيريَنس والمؤسسة؛ وأنظمة الشعارات والألوان والخطوط والصور والرسوم والأيقونات والحركة وقواعد إتاحة الوصول.</w:t>
      </w:r>
    </w:p>
    <w:p>
      <w:pPr>
        <w:pStyle w:val="ListBullet"/>
        <w:spacing w:before="0" w:after="40"/>
        <w:jc w:val="both"/>
        <w:bidi w:val="1"/>
      </w:pPr>
      <w:r>
        <w:rPr>
          <w:rFonts w:ascii="Arial" w:hAnsi="Arial"/>
          <w:b w:val="0"/>
          <w:i w:val="0"/>
          <w:color w:val="13283F"/>
          <w:sz w:val="18"/>
          <w:rtl w:val="1"/>
          <w:rFonts w:cs="Arial"/>
        </w:rPr>
        <w:t>دليل هوية ثنائي اللغة وأصول رئيسية قابلة للتحرير، بما يشمل حقوق الاستخدام وتراخيص الخطوط وتسليم الملفات المصدرية كاملة.</w:t>
      </w:r>
    </w:p>
    <w:p>
      <w:pPr>
        <w:pStyle w:val="ListBullet"/>
        <w:spacing w:before="0" w:after="40"/>
        <w:jc w:val="both"/>
        <w:bidi w:val="1"/>
      </w:pPr>
      <w:r>
        <w:rPr>
          <w:rFonts w:ascii="Arial" w:hAnsi="Arial"/>
          <w:b w:val="0"/>
          <w:i w:val="0"/>
          <w:color w:val="13283F"/>
          <w:sz w:val="18"/>
          <w:rtl w:val="1"/>
          <w:rFonts w:cs="Arial"/>
        </w:rPr>
        <w:t>ثلاثة مسارات أو أكثر للشعار النصي ثنائي اللغة، مختبَرة من حيث المعنى والنطق والملاءمة الثقافية والإتاحة والتطبيق.</w:t>
      </w:r>
    </w:p>
    <w:p>
      <w:pPr>
        <w:pStyle w:val="ListBullet"/>
        <w:spacing w:before="0" w:after="40"/>
        <w:jc w:val="both"/>
        <w:bidi w:val="1"/>
      </w:pPr>
      <w:r>
        <w:rPr>
          <w:rFonts w:ascii="Arial" w:hAnsi="Arial"/>
          <w:b w:val="0"/>
          <w:i w:val="0"/>
          <w:color w:val="13283F"/>
          <w:sz w:val="18"/>
          <w:rtl w:val="1"/>
          <w:rFonts w:cs="Arial"/>
        </w:rPr>
        <w:t>الملفات التعريفية المؤسسية: ملف واحد للمجموعة وخمسة ملفات للكيانات بالعربية والإنجليزية، تُسلَّم بصيغ قابلة للتحرير وجاهزة للنشر.</w:t>
      </w:r>
    </w:p>
    <w:p>
      <w:pPr>
        <w:pStyle w:val="ListBullet"/>
        <w:spacing w:before="0" w:after="40"/>
        <w:jc w:val="both"/>
        <w:bidi w:val="1"/>
      </w:pPr>
      <w:r>
        <w:rPr>
          <w:rFonts w:ascii="Arial" w:hAnsi="Arial"/>
          <w:b w:val="0"/>
          <w:i w:val="0"/>
          <w:color w:val="13283F"/>
          <w:sz w:val="18"/>
          <w:rtl w:val="1"/>
          <w:rFonts w:cs="Arial"/>
        </w:rPr>
        <w:t>المنظومة الرقمية: الاستراتيجية وتجربة المستخدم وواجهة المستخدم والتطوير ومواصفات الاستضافة والتحليلات وإطلاق موقع بوابة مؤسسي مستقل لثرا القابضة إضافة إلى خمسة مواقع مخصصة للشركات التشغيلية ضمن نظام هوية موحّد.</w:t>
      </w:r>
    </w:p>
    <w:p>
      <w:pPr>
        <w:pStyle w:val="ListBullet"/>
        <w:spacing w:before="0" w:after="40"/>
        <w:jc w:val="both"/>
        <w:bidi w:val="1"/>
      </w:pPr>
      <w:r>
        <w:rPr>
          <w:rFonts w:ascii="Arial" w:hAnsi="Arial"/>
          <w:b w:val="0"/>
          <w:i w:val="0"/>
          <w:color w:val="13283F"/>
          <w:sz w:val="18"/>
          <w:rtl w:val="1"/>
          <w:rFonts w:cs="Arial"/>
        </w:rPr>
        <w:t>تشمل وظائف الموقع إدارة محتوى ثنائية اللغة، وتنقّلًا بين الكيانات، وطلبات الالتحاق بالبرامج، واستفسارات المساحات والخدمات، ومسارات تواصل الشركاء والمستثمرين، والفعاليات والأخبار والوظائف والخصوصية والموافقة والتحليلات والجاهزية للربط مع أنظمة إدارة العلاقات.</w:t>
      </w:r>
    </w:p>
    <w:p>
      <w:pPr>
        <w:pStyle w:val="ListBullet"/>
        <w:spacing w:before="0" w:after="40"/>
        <w:jc w:val="both"/>
        <w:bidi w:val="1"/>
      </w:pPr>
      <w:r>
        <w:rPr>
          <w:rFonts w:ascii="Arial" w:hAnsi="Arial"/>
          <w:b w:val="0"/>
          <w:i w:val="0"/>
          <w:color w:val="13283F"/>
          <w:sz w:val="18"/>
          <w:rtl w:val="1"/>
          <w:rFonts w:cs="Arial"/>
        </w:rPr>
        <w:t>منصة الإطلاق: استراتيجية الاتصال والمفهوم الإبداعي وفيلم الإطلاق والمرئيات الرئيسية والحقيبة الصحفية والكلمات ونقاط الحديث والأسئلة الشائعة ومواد الإحاطة الإعلامية وتطبيقات الدعوة والفعالية للإطلاق المزمع في نوفمبر ٢٠٢٦، رهنًا بالتأكيد النهائي.</w:t>
      </w:r>
    </w:p>
    <w:p>
      <w:pPr>
        <w:pStyle w:val="ListBullet"/>
        <w:spacing w:before="0" w:after="40"/>
        <w:jc w:val="both"/>
        <w:bidi w:val="1"/>
      </w:pPr>
      <w:r>
        <w:rPr>
          <w:rFonts w:ascii="Arial" w:hAnsi="Arial"/>
          <w:b w:val="0"/>
          <w:i w:val="0"/>
          <w:color w:val="13283F"/>
          <w:sz w:val="18"/>
          <w:rtl w:val="1"/>
          <w:rFonts w:cs="Arial"/>
        </w:rPr>
        <w:t>خارطة طريق للاتصال والحملات لمدة اثني عشر شهرًا، متوائمة مع المحطات التشغيلية والدفعات والنشاط الاستثماري والشراكات والنتائج المجتمعية والمناسبات الكبرى في الدولة والخليج.</w:t>
      </w:r>
    </w:p>
    <w:p>
      <w:pPr>
        <w:pStyle w:val="ListBullet"/>
        <w:spacing w:before="0" w:after="40"/>
        <w:jc w:val="both"/>
        <w:bidi w:val="1"/>
      </w:pPr>
      <w:r>
        <w:rPr>
          <w:rFonts w:ascii="Arial" w:hAnsi="Arial"/>
          <w:b w:val="0"/>
          <w:i w:val="0"/>
          <w:color w:val="13283F"/>
          <w:sz w:val="18"/>
          <w:rtl w:val="1"/>
          <w:rFonts w:cs="Arial"/>
        </w:rPr>
        <w:t>استراتيجية العلاقات العامة ورسم الخارطة الإعلامية وتقويم الإعلانات وعمليات المكتب الصحفي وإعداد المتحدثين والعلاقات الإعلامية الاستباقية بالعربية والإنجليزية عبر الإعلام الإماراتي والخليجي وإعلام الأعمال والاستثمار والحكومة وريادة الأعمال والتقنية.</w:t>
      </w:r>
    </w:p>
    <w:p>
      <w:pPr>
        <w:pStyle w:val="ListBullet"/>
        <w:spacing w:before="0" w:after="40"/>
        <w:jc w:val="both"/>
        <w:bidi w:val="1"/>
      </w:pPr>
      <w:r>
        <w:rPr>
          <w:rFonts w:ascii="Arial" w:hAnsi="Arial"/>
          <w:b w:val="0"/>
          <w:i w:val="0"/>
          <w:color w:val="13283F"/>
          <w:sz w:val="18"/>
          <w:rtl w:val="1"/>
          <w:rFonts w:cs="Arial"/>
        </w:rPr>
        <w:t>إطار الاتصال في القضايا والأزمات: سجل المخاطر ومصفوفة التصعيد والبيانات التمهيدية والرصد والمحاكاة ودليل الاستجابة.</w:t>
      </w:r>
    </w:p>
    <w:p>
      <w:pPr>
        <w:pStyle w:val="ListBullet"/>
        <w:spacing w:before="0" w:after="40"/>
        <w:jc w:val="both"/>
        <w:bidi w:val="1"/>
      </w:pPr>
      <w:r>
        <w:rPr>
          <w:rFonts w:ascii="Arial" w:hAnsi="Arial"/>
          <w:b w:val="0"/>
          <w:i w:val="0"/>
          <w:color w:val="13283F"/>
          <w:sz w:val="18"/>
          <w:rtl w:val="1"/>
          <w:rFonts w:cs="Arial"/>
        </w:rPr>
        <w:t>تطبيقات العلامة: القرطاسية والقوالب المؤسسية والعروض التقديمية والتقارير واللافتات وإرشادات التوجيه والرسوم البيئية ونظام الفعاليات والقوالب الرقمية ومبادئ الهدايا الترويجية ومواد العلامة كصاحب عمل.</w:t>
      </w:r>
    </w:p>
    <w:p>
      <w:pPr>
        <w:pStyle w:val="ListBullet"/>
        <w:spacing w:before="0" w:after="40"/>
        <w:jc w:val="both"/>
        <w:bidi w:val="1"/>
      </w:pPr>
      <w:r>
        <w:rPr>
          <w:rFonts w:ascii="Arial" w:hAnsi="Arial"/>
          <w:b w:val="0"/>
          <w:i w:val="0"/>
          <w:color w:val="13283F"/>
          <w:sz w:val="18"/>
          <w:rtl w:val="1"/>
          <w:rFonts w:cs="Arial"/>
        </w:rPr>
        <w:t>إطار القياس والتقارير الشهرية التي تربط المخرجات بالسمعة والمشاركة المؤهلة والطلبات والاستفسارات والشراكات والنتائج التجارية.</w:t>
      </w:r>
    </w:p>
    <w:p>
      <w:pPr>
        <w:spacing w:before="220" w:after="80"/>
        <w:jc w:val="right"/>
        <w:bidi w:val="1"/>
      </w:pPr>
      <w:r>
        <w:rPr>
          <w:rFonts w:ascii="Arial" w:hAnsi="Arial"/>
          <w:b/>
          <w:i w:val="0"/>
          <w:color w:val="13283F"/>
          <w:sz w:val="23"/>
          <w:rtl w:val="1"/>
          <w:rFonts w:cs="Arial"/>
        </w:rPr>
        <w:t>الحزمة الأولى — الحد الأدنى من المخرجات المسعّرة</w:t>
      </w:r>
    </w:p>
    <w:tbl>
      <w:tblPr>
        <w:tblStyle w:val="TableGrid"/>
        <w:tblW w:type="auto" w:w="0"/>
        <w:jc w:val="center"/>
        <w:tblLayout w:type="fixed"/>
        <w:tblLook w:firstColumn="1" w:firstRow="1" w:lastColumn="0" w:lastRow="0" w:noHBand="0" w:noVBand="1" w:val="04A0"/>
        <w:bidiVisual/>
      </w:tblPr>
      <w:tblGrid>
        <w:gridCol w:w="1995"/>
        <w:gridCol w:w="7983"/>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مسار العمل</w:t>
            </w:r>
          </w:p>
        </w:tc>
        <w:tc>
          <w:tcPr>
            <w:tcW w:type="dxa" w:w="7982"/>
            <w:shd w:val="clear" w:fill="13283F"/>
          </w:tcPr>
          <w:p>
            <w:pPr>
              <w:spacing w:after="20"/>
              <w:jc w:val="both"/>
              <w:bidi w:val="1"/>
            </w:pPr>
            <w:r>
              <w:rPr>
                <w:rtl w:val="1"/>
                <w:rFonts w:cs="Arial"/>
              </w:rPr>
            </w:r>
            <w:r>
              <w:rPr>
                <w:rFonts w:ascii="Arial" w:hAnsi="Arial"/>
                <w:b/>
                <w:color w:val="FFFFFF"/>
                <w:sz w:val="17"/>
                <w:rtl w:val="1"/>
                <w:rFonts w:cs="Arial"/>
              </w:rPr>
              <w:t>الحد الأدنى من المخرجات</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الاستراتيجية</w:t>
            </w:r>
          </w:p>
        </w:tc>
        <w:tc>
          <w:tcPr>
            <w:tcW w:type="dxa" w:w="7982"/>
            <w:shd w:val="clear" w:fill="F4F6F8"/>
          </w:tcPr>
          <w:p>
            <w:pPr>
              <w:spacing w:after="20"/>
              <w:jc w:val="both"/>
              <w:bidi w:val="1"/>
            </w:pPr>
            <w:r>
              <w:rPr>
                <w:rtl w:val="1"/>
                <w:rFonts w:cs="Arial"/>
              </w:rPr>
            </w:r>
            <w:r>
              <w:rPr>
                <w:rFonts w:ascii="Arial" w:hAnsi="Arial"/>
                <w:color w:val="13283F"/>
                <w:sz w:val="17"/>
                <w:rtl w:val="1"/>
                <w:rFonts w:cs="Arial"/>
              </w:rPr>
              <w:t>استراتيجية علامة واحدة للمجموعة؛ ٦ عروض قيمة للجماهير؛ نظام واحد للرسائل ونقاط الإثبات؛ دليل واحد لهيكل العلامة والتسمية.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الهوية</w:t>
            </w:r>
          </w:p>
        </w:tc>
        <w:tc>
          <w:tcPr>
            <w:tcW w:type="dxa" w:w="7982"/>
            <w:shd w:val="clear" w:fill="E9EDF1"/>
          </w:tcPr>
          <w:p>
            <w:pPr>
              <w:spacing w:after="20"/>
              <w:jc w:val="both"/>
              <w:bidi w:val="1"/>
            </w:pPr>
            <w:r>
              <w:rPr>
                <w:rtl w:val="1"/>
                <w:rFonts w:cs="Arial"/>
              </w:rPr>
            </w:r>
            <w:r>
              <w:rPr>
                <w:rFonts w:ascii="Arial" w:hAnsi="Arial"/>
                <w:color w:val="13283F"/>
                <w:sz w:val="17"/>
                <w:rtl w:val="1"/>
                <w:rFonts w:cs="Arial"/>
              </w:rPr>
              <w:t>نظام رئيسي واحد إضافة إلى ٥ تعبيرات للكيانات؛ تراكيب ثنائية اللغة؛ دليل كامل؛ مكتبة مصدرية وقوالب قابلة للتحرير.</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الملفات التعريفية</w:t>
            </w:r>
          </w:p>
        </w:tc>
        <w:tc>
          <w:tcPr>
            <w:tcW w:type="dxa" w:w="7982"/>
            <w:shd w:val="clear" w:fill="F4F6F8"/>
          </w:tcPr>
          <w:p>
            <w:pPr>
              <w:spacing w:after="20"/>
              <w:jc w:val="both"/>
              <w:bidi w:val="1"/>
            </w:pPr>
            <w:r>
              <w:rPr>
                <w:rtl w:val="1"/>
                <w:rFonts w:cs="Arial"/>
              </w:rPr>
            </w:r>
            <w:r>
              <w:rPr>
                <w:rFonts w:ascii="Arial" w:hAnsi="Arial"/>
                <w:color w:val="13283F"/>
                <w:sz w:val="17"/>
                <w:rtl w:val="1"/>
                <w:rFonts w:cs="Arial"/>
              </w:rPr>
              <w:t>ملف واحد للمجموعة و٥ ملفات للكيانات، كل منها بالعربية والإنجليزية.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الويب</w:t>
            </w:r>
          </w:p>
        </w:tc>
        <w:tc>
          <w:tcPr>
            <w:tcW w:type="dxa" w:w="7982"/>
            <w:shd w:val="clear" w:fill="E9EDF1"/>
          </w:tcPr>
          <w:p>
            <w:pPr>
              <w:spacing w:after="20"/>
              <w:jc w:val="both"/>
              <w:bidi w:val="1"/>
            </w:pPr>
            <w:r>
              <w:rPr>
                <w:rtl w:val="1"/>
                <w:rFonts w:cs="Arial"/>
              </w:rPr>
            </w:r>
            <w:r>
              <w:rPr>
                <w:rFonts w:ascii="Arial" w:hAnsi="Arial"/>
                <w:color w:val="13283F"/>
                <w:sz w:val="17"/>
                <w:rtl w:val="1"/>
                <w:rFonts w:cs="Arial"/>
              </w:rPr>
              <w:t>بوابة واحدة للمجموعة إضافة إلى ٥ وجهات للكيانات؛ نظام إدارة محتوى ثنائي اللغة؛ تجربة وواجهة المستخدم والبناء وضمان الجودة والتدريب والتوثيق وخيار ضمان/دعم لمدة ١٢ شهرًا.</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الإطلاق</w:t>
            </w:r>
          </w:p>
        </w:tc>
        <w:tc>
          <w:tcPr>
            <w:tcW w:type="dxa" w:w="7982"/>
            <w:shd w:val="clear" w:fill="F4F6F8"/>
          </w:tcPr>
          <w:p>
            <w:pPr>
              <w:spacing w:after="20"/>
              <w:jc w:val="both"/>
              <w:bidi w:val="1"/>
            </w:pPr>
            <w:r>
              <w:rPr>
                <w:rtl w:val="1"/>
                <w:rFonts w:cs="Arial"/>
              </w:rPr>
            </w:r>
            <w:r>
              <w:rPr>
                <w:rFonts w:ascii="Arial" w:hAnsi="Arial"/>
                <w:color w:val="13283F"/>
                <w:sz w:val="17"/>
                <w:rtl w:val="1"/>
                <w:rFonts w:cs="Arial"/>
              </w:rPr>
              <w:t>منصة إطلاق واحدة، وفيلم رئيسي واحد بنسخ مختصرة، وحقيبة صحفية، وحزمة هوية/تطبيقات الفعالية، والكلمات، والأسئلة الشائعة، وإحاطة المتحدثين.</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العلاقات العامة</w:t>
            </w:r>
          </w:p>
        </w:tc>
        <w:tc>
          <w:tcPr>
            <w:tcW w:type="dxa" w:w="7982"/>
            <w:shd w:val="clear" w:fill="E9EDF1"/>
          </w:tcPr>
          <w:p>
            <w:pPr>
              <w:spacing w:after="20"/>
              <w:jc w:val="both"/>
              <w:bidi w:val="1"/>
            </w:pPr>
            <w:r>
              <w:rPr>
                <w:rtl w:val="1"/>
                <w:rFonts w:cs="Arial"/>
              </w:rPr>
            </w:r>
            <w:r>
              <w:rPr>
                <w:rFonts w:ascii="Arial" w:hAnsi="Arial"/>
                <w:color w:val="13283F"/>
                <w:sz w:val="17"/>
                <w:rtl w:val="1"/>
                <w:rFonts w:cs="Arial"/>
              </w:rPr>
              <w:t>خطة لمدة ١٢ شهرًا؛ ومكتب إعلامي؛ وبيان افتراضات الحد الأدنى للأتعاب الشهرية؛ ودليل الأزمات ومحاكاة واحدة.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الحملات</w:t>
            </w:r>
          </w:p>
        </w:tc>
        <w:tc>
          <w:tcPr>
            <w:tcW w:type="dxa" w:w="7982"/>
            <w:shd w:val="clear" w:fill="F4F6F8"/>
          </w:tcPr>
          <w:p>
            <w:pPr>
              <w:spacing w:after="20"/>
              <w:jc w:val="both"/>
              <w:bidi w:val="1"/>
            </w:pPr>
            <w:r>
              <w:rPr>
                <w:rtl w:val="1"/>
                <w:rFonts w:cs="Arial"/>
              </w:rPr>
            </w:r>
            <w:r>
              <w:rPr>
                <w:rFonts w:ascii="Arial" w:hAnsi="Arial"/>
                <w:color w:val="13283F"/>
                <w:sz w:val="17"/>
                <w:rtl w:val="1"/>
                <w:rFonts w:cs="Arial"/>
              </w:rPr>
              <w:t>حملة الإطلاق إضافة إلى ثلاث منصات حملات موضوعية؛ وافتراضات إنتاج مفصّلة وحقوق استخدام.</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التقارير</w:t>
            </w:r>
          </w:p>
        </w:tc>
        <w:tc>
          <w:tcPr>
            <w:tcW w:type="dxa" w:w="7982"/>
            <w:shd w:val="clear" w:fill="E9EDF1"/>
          </w:tcPr>
          <w:p>
            <w:pPr>
              <w:spacing w:after="20"/>
              <w:jc w:val="both"/>
              <w:bidi w:val="1"/>
            </w:pPr>
            <w:r>
              <w:rPr>
                <w:rtl w:val="1"/>
                <w:rFonts w:cs="Arial"/>
              </w:rPr>
            </w:r>
            <w:r>
              <w:rPr>
                <w:rFonts w:ascii="Arial" w:hAnsi="Arial"/>
                <w:color w:val="13283F"/>
                <w:sz w:val="17"/>
                <w:rtl w:val="1"/>
                <w:rFonts w:cs="Arial"/>
              </w:rPr>
              <w:t>خط الأساس، ولوحة مؤشرات الأداء، وتقرير شهري، ومراجعة استراتيجية ربع سنوية.</w:t>
            </w:r>
          </w:p>
        </w:tc>
      </w:tr>
    </w:tbl>
    <w:p>
      <w:pPr>
        <w:spacing w:after="80"/>
      </w:pPr>
    </w:p>
    <w:p>
      <w:pPr>
        <w:spacing w:before="220" w:after="80"/>
        <w:jc w:val="right"/>
        <w:bidi w:val="1"/>
      </w:pPr>
      <w:r>
        <w:rPr>
          <w:rFonts w:ascii="Arial" w:hAnsi="Arial"/>
          <w:b/>
          <w:i w:val="0"/>
          <w:color w:val="13283F"/>
          <w:sz w:val="23"/>
          <w:rtl w:val="1"/>
          <w:rFonts w:cs="Arial"/>
        </w:rPr>
        <w:t>الحزمة الثانية — إدارة اختيارية لوسائل التواصل الاجتماعي والمحتوى الرقمي</w:t>
      </w:r>
    </w:p>
    <w:p>
      <w:pPr>
        <w:spacing w:before="0" w:after="100"/>
        <w:jc w:val="both"/>
        <w:bidi w:val="1"/>
      </w:pPr>
      <w:r>
        <w:rPr>
          <w:rFonts w:ascii="Arial" w:hAnsi="Arial"/>
          <w:b w:val="0"/>
          <w:i w:val="0"/>
          <w:color w:val="13283F"/>
          <w:sz w:val="18"/>
          <w:rtl w:val="1"/>
          <w:rFonts w:cs="Arial"/>
        </w:rPr>
        <w:t>هذه الحزمة اختيارية وخارج نطاق التعيين الأساسي الإلزامي. ويُشجَّع تقديمها لكنها ليست شرطًا لاستيفاء الحزمة الأولى، ولن تزيد أو تُنقص من الدرجة الفنية للحزمة الأولى. وأي تعيين سيتم عبر قرار ترسية منفصل وتأكيد للنطاق وجدول تجاري وموافقة على التعبئة. وتحتفظ ثرا بحق إدارة وسائل التواصل داخليًا أو تعيين مورّد متخصص آخر.</w:t>
      </w:r>
    </w:p>
    <w:p>
      <w:pPr>
        <w:pStyle w:val="ListBullet"/>
        <w:spacing w:before="0" w:after="40"/>
        <w:jc w:val="both"/>
        <w:bidi w:val="1"/>
      </w:pPr>
      <w:r>
        <w:rPr>
          <w:rFonts w:ascii="Arial" w:hAnsi="Arial"/>
          <w:b w:val="0"/>
          <w:i w:val="0"/>
          <w:color w:val="13283F"/>
          <w:sz w:val="18"/>
          <w:rtl w:val="1"/>
          <w:rFonts w:cs="Arial"/>
        </w:rPr>
        <w:t>حسابات تواصل اجتماعي منفصلة ومخصصة لجميع الكيانات الستة، مع نموذج حوكمة واضح يحدد محتوى العلامة الأم والكيانات والمحتوى المتبادل.</w:t>
      </w:r>
    </w:p>
    <w:p>
      <w:pPr>
        <w:pStyle w:val="ListBullet"/>
        <w:spacing w:before="0" w:after="40"/>
        <w:jc w:val="both"/>
        <w:bidi w:val="1"/>
      </w:pPr>
      <w:r>
        <w:rPr>
          <w:rFonts w:ascii="Arial" w:hAnsi="Arial"/>
          <w:b w:val="0"/>
          <w:i w:val="0"/>
          <w:color w:val="13283F"/>
          <w:sz w:val="18"/>
          <w:rtl w:val="1"/>
          <w:rFonts w:cs="Arial"/>
        </w:rPr>
        <w:t>الاستراتيجية والإدارة لمنصات لينكد إن وإنستغرام وإكس ويوتيوب وتيك توك؛ على أن يكون تفعيل المنصات مبنيًا على الجمهور ويجوز تقسيمه على مراحل بموافقة.</w:t>
      </w:r>
    </w:p>
    <w:p>
      <w:pPr>
        <w:pStyle w:val="ListBullet"/>
        <w:spacing w:before="0" w:after="40"/>
        <w:jc w:val="both"/>
        <w:bidi w:val="1"/>
      </w:pPr>
      <w:r>
        <w:rPr>
          <w:rFonts w:ascii="Arial" w:hAnsi="Arial"/>
          <w:b w:val="0"/>
          <w:i w:val="0"/>
          <w:color w:val="13283F"/>
          <w:sz w:val="18"/>
          <w:rtl w:val="1"/>
          <w:rFonts w:cs="Arial"/>
        </w:rPr>
        <w:t>محاور المحتوى: ريادة الأعمال، والاستثمار، والذكاء الاصطناعي والتقنية، والأثر، واقتصاد عجمان، ونمو الأعمال.</w:t>
      </w:r>
    </w:p>
    <w:p>
      <w:pPr>
        <w:pStyle w:val="ListBullet"/>
        <w:spacing w:before="0" w:after="40"/>
        <w:jc w:val="both"/>
        <w:bidi w:val="1"/>
      </w:pPr>
      <w:r>
        <w:rPr>
          <w:rFonts w:ascii="Arial" w:hAnsi="Arial"/>
          <w:b w:val="0"/>
          <w:i w:val="0"/>
          <w:color w:val="13283F"/>
          <w:sz w:val="18"/>
          <w:rtl w:val="1"/>
          <w:rFonts w:cs="Arial"/>
        </w:rPr>
        <w:t>خطط محتوى شهرية متجددة وثنائية اللغة تُقدَّم قبل عشرة أيام عمل على الأقل من بداية الشهر، مدعومة بتخطيط تحريري ربع سنوي.</w:t>
      </w:r>
    </w:p>
    <w:p>
      <w:pPr>
        <w:pStyle w:val="ListBullet"/>
        <w:spacing w:before="0" w:after="40"/>
        <w:jc w:val="both"/>
        <w:bidi w:val="1"/>
      </w:pPr>
      <w:r>
        <w:rPr>
          <w:rFonts w:ascii="Arial" w:hAnsi="Arial"/>
          <w:b w:val="0"/>
          <w:i w:val="0"/>
          <w:color w:val="13283F"/>
          <w:sz w:val="18"/>
          <w:rtl w:val="1"/>
          <w:rFonts w:cs="Arial"/>
        </w:rPr>
        <w:t>إنتاج متكامل: تصوير فوتوغرافي للقيادات والمؤسسين، وفيديو، وريلز، ومقابلات، ودراسات حالة، ومواد تفسيرية، وموشن جرافيك، وإنفوجرافيك، ومواد ثابتة.</w:t>
      </w:r>
    </w:p>
    <w:p>
      <w:pPr>
        <w:pStyle w:val="ListBullet"/>
        <w:spacing w:before="0" w:after="40"/>
        <w:jc w:val="both"/>
        <w:bidi w:val="1"/>
      </w:pPr>
      <w:r>
        <w:rPr>
          <w:rFonts w:ascii="Arial" w:hAnsi="Arial"/>
          <w:b w:val="0"/>
          <w:i w:val="0"/>
          <w:color w:val="13283F"/>
          <w:sz w:val="18"/>
          <w:rtl w:val="1"/>
          <w:rFonts w:cs="Arial"/>
        </w:rPr>
        <w:t>كتابة بالعربية الفصيحة والإنجليزية الاحترافية، وترجمة/تكييف بشري، وتدقيق لغوي، وترجمة مرئية، وتعليقات، ومعالجة إتاحة الوصول.</w:t>
      </w:r>
    </w:p>
    <w:p>
      <w:pPr>
        <w:pStyle w:val="ListBullet"/>
        <w:spacing w:before="0" w:after="40"/>
        <w:jc w:val="both"/>
        <w:bidi w:val="1"/>
      </w:pPr>
      <w:r>
        <w:rPr>
          <w:rFonts w:ascii="Arial" w:hAnsi="Arial"/>
          <w:b w:val="0"/>
          <w:i w:val="0"/>
          <w:color w:val="13283F"/>
          <w:sz w:val="18"/>
          <w:rtl w:val="1"/>
          <w:rFonts w:cs="Arial"/>
        </w:rPr>
        <w:t>إدارة المجتمع الرقمي والتصعيد، بما يشمل مصفوفة الاستجابة والأسئلة الشائعة ورصد المشاعر والقضايا ومستويات الخدمة المعتمدة.</w:t>
      </w:r>
    </w:p>
    <w:p>
      <w:pPr>
        <w:pStyle w:val="ListBullet"/>
        <w:spacing w:before="0" w:after="40"/>
        <w:jc w:val="both"/>
        <w:bidi w:val="1"/>
      </w:pPr>
      <w:r>
        <w:rPr>
          <w:rFonts w:ascii="Arial" w:hAnsi="Arial"/>
          <w:b w:val="0"/>
          <w:i w:val="0"/>
          <w:color w:val="13283F"/>
          <w:sz w:val="18"/>
          <w:rtl w:val="1"/>
          <w:rFonts w:cs="Arial"/>
        </w:rPr>
        <w:t>استراتيجية وتنفيذ الإعلانات المدفوعة مع فصل الإنفاق الإعلاني عن أتعاب الوكالة؛ ويُشترط منهج للجمهور والتحويل وإعادة الاستهداف وجودة العملاء المحتملين.</w:t>
      </w:r>
    </w:p>
    <w:p>
      <w:pPr>
        <w:pStyle w:val="ListBullet"/>
        <w:spacing w:before="0" w:after="40"/>
        <w:jc w:val="both"/>
        <w:bidi w:val="1"/>
      </w:pPr>
      <w:r>
        <w:rPr>
          <w:rFonts w:ascii="Arial" w:hAnsi="Arial"/>
          <w:b w:val="0"/>
          <w:i w:val="0"/>
          <w:color w:val="13283F"/>
          <w:sz w:val="18"/>
          <w:rtl w:val="1"/>
          <w:rFonts w:cs="Arial"/>
        </w:rPr>
        <w:t>العناية الواجبة بالمؤثرين وقادة الرأي وإدارتهم فقط حيثما كان ذلك مبررًا استراتيجيًا ومعتمدًا مسبقًا.</w:t>
      </w:r>
    </w:p>
    <w:p>
      <w:pPr>
        <w:pStyle w:val="ListBullet"/>
        <w:spacing w:before="0" w:after="40"/>
        <w:jc w:val="both"/>
        <w:bidi w:val="1"/>
      </w:pPr>
      <w:r>
        <w:rPr>
          <w:rFonts w:ascii="Arial" w:hAnsi="Arial"/>
          <w:b w:val="0"/>
          <w:i w:val="0"/>
          <w:color w:val="13283F"/>
          <w:sz w:val="18"/>
          <w:rtl w:val="1"/>
          <w:rFonts w:cs="Arial"/>
        </w:rPr>
        <w:t>تغطية الفعاليات والأنشطة المباشرة، بما يشمل سير عمل اعتماد سريع ومحتوى في اليوم ذاته.</w:t>
      </w:r>
    </w:p>
    <w:p>
      <w:pPr>
        <w:pStyle w:val="ListBullet"/>
        <w:spacing w:before="0" w:after="40"/>
        <w:jc w:val="both"/>
        <w:bidi w:val="1"/>
      </w:pPr>
      <w:r>
        <w:rPr>
          <w:rFonts w:ascii="Arial" w:hAnsi="Arial"/>
          <w:b w:val="0"/>
          <w:i w:val="0"/>
          <w:color w:val="13283F"/>
          <w:sz w:val="18"/>
          <w:rtl w:val="1"/>
          <w:rFonts w:cs="Arial"/>
        </w:rPr>
        <w:t>تحليلات شهرية ومراجعات تحسين ربع سنوية مرتبطة بالوعي وجودة التفاعل والطلبات والاستفسارات المؤهلة والتسجيلات والتحويل — لا بمؤشرات المظهر وحدها.</w:t>
      </w:r>
    </w:p>
    <w:p>
      <w:pPr>
        <w:pStyle w:val="ListBullet"/>
        <w:spacing w:before="0" w:after="40"/>
        <w:jc w:val="both"/>
        <w:bidi w:val="1"/>
      </w:pPr>
      <w:r>
        <w:rPr>
          <w:rFonts w:ascii="Arial" w:hAnsi="Arial"/>
          <w:b w:val="0"/>
          <w:i w:val="0"/>
          <w:color w:val="13283F"/>
          <w:sz w:val="18"/>
          <w:rtl w:val="1"/>
          <w:rFonts w:cs="Arial"/>
        </w:rPr>
        <w:t>ملكية كاملة وتسليم شهري منظّم للقطات الخام والملفات المصدرية القابلة للتحرير وبيانات اعتماد الحسابات والجماهير والبكسلات وبيانات الحملات.</w:t>
      </w:r>
    </w:p>
    <w:p>
      <w:pPr>
        <w:spacing w:before="220" w:after="80"/>
        <w:jc w:val="right"/>
        <w:bidi w:val="1"/>
      </w:pPr>
      <w:r>
        <w:rPr>
          <w:rFonts w:ascii="Arial" w:hAnsi="Arial"/>
          <w:b/>
          <w:i w:val="0"/>
          <w:color w:val="13283F"/>
          <w:sz w:val="23"/>
          <w:rtl w:val="1"/>
          <w:rFonts w:cs="Arial"/>
        </w:rPr>
        <w:t>الحزمة الثانية — سيناريوهات التسعير</w:t>
      </w:r>
    </w:p>
    <w:p>
      <w:pPr>
        <w:spacing w:before="0" w:after="100"/>
        <w:jc w:val="both"/>
        <w:bidi w:val="1"/>
      </w:pPr>
      <w:r>
        <w:rPr>
          <w:rFonts w:ascii="Arial" w:hAnsi="Arial"/>
          <w:b w:val="0"/>
          <w:i w:val="0"/>
          <w:color w:val="13283F"/>
          <w:sz w:val="18"/>
          <w:rtl w:val="1"/>
          <w:rFonts w:cs="Arial"/>
        </w:rPr>
        <w:t>على مقدم العرض تسعير كلا السيناريوهين بناءً على افتراضات خدمة وجودة متطابقة:</w:t>
      </w:r>
    </w:p>
    <w:tbl>
      <w:tblPr>
        <w:tblStyle w:val="TableGrid"/>
        <w:tblW w:type="auto" w:w="0"/>
        <w:jc w:val="center"/>
        <w:tblLayout w:type="fixed"/>
        <w:tblLook w:firstColumn="1" w:firstRow="1" w:lastColumn="0" w:lastRow="0" w:noHBand="0" w:noVBand="1" w:val="04A0"/>
        <w:bidiVisual/>
      </w:tblPr>
      <w:tblGrid>
        <w:gridCol w:w="2439"/>
        <w:gridCol w:w="7539"/>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السيناريو</w:t>
            </w:r>
          </w:p>
        </w:tc>
        <w:tc>
          <w:tcPr>
            <w:tcW w:type="dxa" w:w="7539"/>
            <w:shd w:val="clear" w:fill="13283F"/>
          </w:tcPr>
          <w:p>
            <w:pPr>
              <w:spacing w:after="20"/>
              <w:jc w:val="both"/>
              <w:bidi w:val="1"/>
            </w:pPr>
            <w:r>
              <w:rPr>
                <w:rtl w:val="1"/>
                <w:rFonts w:cs="Arial"/>
              </w:rPr>
            </w:r>
            <w:r>
              <w:rPr>
                <w:rFonts w:ascii="Arial" w:hAnsi="Arial"/>
                <w:b/>
                <w:color w:val="FFFFFF"/>
                <w:sz w:val="17"/>
                <w:rtl w:val="1"/>
                <w:rFonts w:cs="Arial"/>
              </w:rPr>
              <w:t>متطلب التسعير</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أ — قائم على النتائج / حجم مرن</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أتعاب شهرية تدعم جميع الكيانات الستة دون سقف ثابت لعدد المنشورات، تحكمها خطة تحريرية متفق عليها وطاقة إنتاجية ونوافذ اعتماد وافتراضات استخدام عادل.</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ب — حجم محدد</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أتعاب شهرية مع حد أدنى واضح لكل كيان ولكل صيغة. مع بيان المنشورات والريلز/الفيديوهات والستوريز ومحتوى القيادات وأيام الإنتاج وساعات تغطية الفعاليات وساعات إدارة المجتمع وحدود التعديلات.</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كلا السيناريوهين</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فصل أتعاب الوكالة والإنتاج والمواهب والسفر والتراخيص وإدارة الإعلانات المدفوعة والإنفاق الإعلاني. مع إدراج أسعار وحدة اختيارية وتسعير الذروة/الفعاليات.</w:t>
            </w:r>
          </w:p>
        </w:tc>
      </w:tr>
    </w:tbl>
    <w:p>
      <w:pPr>
        <w:spacing w:after="80"/>
      </w:pPr>
    </w:p>
    <w:p>
      <w:pPr>
        <w:spacing w:before="220" w:after="80"/>
        <w:jc w:val="right"/>
        <w:bidi w:val="1"/>
      </w:pPr>
      <w:r>
        <w:rPr>
          <w:rFonts w:ascii="Arial" w:hAnsi="Arial"/>
          <w:b/>
          <w:i w:val="0"/>
          <w:color w:val="13283F"/>
          <w:sz w:val="23"/>
          <w:rtl w:val="1"/>
          <w:rFonts w:cs="Arial"/>
        </w:rPr>
        <w:t>مقترح خلق القيمة من مقدم العرض</w:t>
      </w:r>
    </w:p>
    <w:p>
      <w:pPr>
        <w:spacing w:before="0" w:after="100"/>
        <w:jc w:val="both"/>
        <w:bidi w:val="1"/>
      </w:pPr>
      <w:r>
        <w:rPr>
          <w:rFonts w:ascii="Arial" w:hAnsi="Arial"/>
          <w:b w:val="0"/>
          <w:i w:val="0"/>
          <w:color w:val="13283F"/>
          <w:sz w:val="18"/>
          <w:rtl w:val="1"/>
          <w:rFonts w:cs="Arial"/>
        </w:rPr>
        <w:t>على كل مقدم عرض أن يوضح كيف سيخلق تعيينه قيمة عملية إضافية لثرا تتجاوز مجرد إنجاز المخرجات المدرجة. ويجب أن يكون الرد محددًا وذا مصداقية ومرتبطًا مباشرة بجماهير ثرا ونموذجها التشغيلي ذي الكيانات الستة ومتطلباتها ثنائية اللغة وأولويات الإطلاق والنتائج التجارية القابلة للقياس. ولن تُمنح درجات للوعود العامة أو الشراكات الافتراضية أو الادعاءات التقنية غير المتحقق منها.</w:t>
      </w:r>
    </w:p>
    <w:tbl>
      <w:tblPr>
        <w:tblStyle w:val="TableGrid"/>
        <w:tblW w:type="auto" w:w="0"/>
        <w:jc w:val="center"/>
        <w:tblLayout w:type="fixed"/>
        <w:tblLook w:firstColumn="1" w:firstRow="1" w:lastColumn="0" w:lastRow="0" w:noHBand="0" w:noVBand="1" w:val="04A0"/>
        <w:bidiVisual/>
      </w:tblPr>
      <w:tblGrid>
        <w:gridCol w:w="2439"/>
        <w:gridCol w:w="7539"/>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المكوّن المطلوب</w:t>
            </w:r>
          </w:p>
        </w:tc>
        <w:tc>
          <w:tcPr>
            <w:tcW w:type="dxa" w:w="7539"/>
            <w:shd w:val="clear" w:fill="13283F"/>
          </w:tcPr>
          <w:p>
            <w:pPr>
              <w:spacing w:after="20"/>
              <w:jc w:val="both"/>
              <w:bidi w:val="1"/>
            </w:pPr>
            <w:r>
              <w:rPr>
                <w:rtl w:val="1"/>
                <w:rFonts w:cs="Arial"/>
              </w:rPr>
            </w:r>
            <w:r>
              <w:rPr>
                <w:rFonts w:ascii="Arial" w:hAnsi="Arial"/>
                <w:b/>
                <w:color w:val="FFFFFF"/>
                <w:sz w:val="17"/>
                <w:rtl w:val="1"/>
                <w:rFonts w:cs="Arial"/>
              </w:rPr>
              <w:t>رد مقدم العرض</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أطروحة القيمة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بيان الطرق الثلاث إلى الخمس الأهم التي سيحسّن بها النهج المقترح الجودة أو السرعة أو الانتشار أو التحويل أو القدرات أو الكفاءة أو ضبط المخاطر لدى ثرا.</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أول ١٠٠ يوم</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تقديم خطة عمل متسلسلة تحدد المكاسب السريعة والقرارات المطلوبة وأعضاء الفريق المسؤولين وأدلة الإنجاز والفائدة التشغيلية المتوقعة.</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الفائدة القابلة للقياس</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لكل مقترح، تحديد خط الأساس الحالي أو المفترض، والفائدة المستهدفة، وطريقة القياس، وتواتر التقارير، والتبعيات، ونقطة مراجعة الفائدة.</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نقل القدرات</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شرح كيف سيصبح فريق ثرا الداخلي أكثر قدرة من خلال أدلة العمل والقوالب والتدريب والإرشاد وسير العمل الموثق والتحكم على مستوى المسؤول.</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الوصول إلى الشبكات</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تحديد ما يمكن لمقدم العرض تفعيله بمصداقية من وصول إعلامي أو ريادي أو استثماري أو مؤسسي أو تقني. مع التمييز بين العلاقات القائمة والتواصل المقترح، ودون ضمان مشاركة أي طرف ثالث.</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الابتكار والكفاءة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وصف الأدوات المفيدة والأتمتة وسير العمل المدعوم بالذكاء الاصطناعي وأنظمة المحتوى القابلة لإعادة الاستخدام أو كفاءات الإنتاج، بما يشمل المراجعة البشرية والأمن والحقوق والبيانات وضوابط الاعتماد.</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المعالجة التجارية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استخدام مرجع فريد لكل بند قيمة. وفي العرض المالي، تحديد ما إذا كان مشمولًا ضمن الأتعاب الأساسية أو اختياريًا منفصلًا، مع الإفصاح عن جميع التكاليف والافتراضات والتراخيص والتبعيات المستمرة.</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الإثبات</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دعم الادعاءات الجوهرية بمثال حالة ذي صلة أو مرجع أو عرض توضيحي أو معيار مرجعي أو دليل تنفيذ، مع بيان دور مقدم العرض الفعلي بوضوح.</w:t>
            </w:r>
          </w:p>
        </w:tc>
      </w:tr>
    </w:tbl>
    <w:p>
      <w:pPr>
        <w:spacing w:after="80"/>
      </w:pPr>
    </w:p>
    <w:p>
      <w:pPr>
        <w:spacing w:before="0" w:after="100"/>
        <w:jc w:val="both"/>
        <w:bidi w:val="1"/>
      </w:pPr>
      <w:r>
        <w:rPr>
          <w:rFonts w:ascii="Arial" w:hAnsi="Arial"/>
          <w:b w:val="0"/>
          <w:i w:val="0"/>
          <w:color w:val="13283F"/>
          <w:sz w:val="18"/>
          <w:rtl w:val="1"/>
          <w:rFonts w:cs="Arial"/>
        </w:rPr>
        <w:t>يجوز لثرا قبول أي بند قيمة مقترح أو رفضه أو اختباره أو التفاوض بشأنه أو تقسيمه على مراحل بشكل مستقل. ولا يعدّل مقترح القيمة المضافة النطاق الإلزامي ما لم يُدرج في العقد المبرم. وبمجرد قبول بند قيمة مشمول ضمن العقد، يصبح مخرجًا ملزمًا خاضعًا لنفس متطلبات الجودة والحوكمة والملكية والقبول المطبقة على النطاق الأساسي.</w:t>
      </w:r>
    </w:p>
    <w:p>
      <w:pPr>
        <w:spacing w:before="360" w:after="120"/>
        <w:jc w:val="right"/>
        <w:bidi w:val="1"/>
      </w:pPr>
      <w:r>
        <w:rPr>
          <w:rFonts w:ascii="Arial" w:hAnsi="Arial"/>
          <w:b/>
          <w:i w:val="0"/>
          <w:color w:val="13283F"/>
          <w:sz w:val="34"/>
          <w:rtl w:val="1"/>
          <w:rFonts w:cs="Arial"/>
        </w:rPr>
        <w:t>٩. أهداف الاتصال ومؤشرات الأداء</w:t>
      </w:r>
    </w:p>
    <w:p>
      <w:pPr>
        <w:spacing w:before="220" w:after="80"/>
        <w:jc w:val="right"/>
        <w:bidi w:val="1"/>
      </w:pPr>
      <w:r>
        <w:rPr>
          <w:rFonts w:ascii="Arial" w:hAnsi="Arial"/>
          <w:b/>
          <w:i w:val="0"/>
          <w:color w:val="13283F"/>
          <w:sz w:val="23"/>
          <w:rtl w:val="1"/>
          <w:rFonts w:cs="Arial"/>
        </w:rPr>
        <w:t>التوجه المعتمد للعلاقات العامة</w:t>
      </w:r>
    </w:p>
    <w:tbl>
      <w:tblPr>
        <w:tblStyle w:val="TableGrid"/>
        <w:tblW w:type="auto" w:w="0"/>
        <w:jc w:val="center"/>
        <w:tblLayout w:type="fixed"/>
        <w:tblLook w:firstColumn="1" w:firstRow="1" w:lastColumn="0" w:lastRow="0" w:noHBand="0" w:noVBand="1" w:val="04A0"/>
        <w:bidiVisual/>
      </w:tblPr>
      <w:tblGrid>
        <w:gridCol w:w="2661"/>
        <w:gridCol w:w="2439"/>
        <w:gridCol w:w="2439"/>
        <w:gridCol w:w="2439"/>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الهدف</w:t>
            </w:r>
          </w:p>
        </w:tc>
        <w:tc>
          <w:tcPr>
            <w:tcW w:type="dxa" w:w="2439"/>
            <w:shd w:val="clear" w:fill="13283F"/>
          </w:tcPr>
          <w:p>
            <w:pPr>
              <w:spacing w:after="20"/>
              <w:jc w:val="both"/>
              <w:bidi w:val="1"/>
            </w:pPr>
            <w:r>
              <w:rPr>
                <w:rtl w:val="1"/>
                <w:rFonts w:cs="Arial"/>
              </w:rPr>
            </w:r>
            <w:r>
              <w:rPr>
                <w:rFonts w:ascii="Arial" w:hAnsi="Arial"/>
                <w:b/>
                <w:color w:val="FFFFFF"/>
                <w:sz w:val="17"/>
                <w:rtl w:val="1"/>
                <w:rFonts w:cs="Arial"/>
              </w:rPr>
              <w:t>الإمارات — السنوات ١ إلى ٣</w:t>
            </w:r>
          </w:p>
        </w:tc>
        <w:tc>
          <w:tcPr>
            <w:tcW w:type="dxa" w:w="2439"/>
            <w:shd w:val="clear" w:fill="13283F"/>
          </w:tcPr>
          <w:p>
            <w:pPr>
              <w:spacing w:after="20"/>
              <w:jc w:val="both"/>
              <w:bidi w:val="1"/>
            </w:pPr>
            <w:r>
              <w:rPr>
                <w:rtl w:val="1"/>
                <w:rFonts w:cs="Arial"/>
              </w:rPr>
            </w:r>
            <w:r>
              <w:rPr>
                <w:rFonts w:ascii="Arial" w:hAnsi="Arial"/>
                <w:b/>
                <w:color w:val="FFFFFF"/>
                <w:sz w:val="17"/>
                <w:rtl w:val="1"/>
                <w:rFonts w:cs="Arial"/>
              </w:rPr>
              <w:t>الخليج والشرق الأوسط — السنوات ٤ إلى ٥</w:t>
            </w:r>
          </w:p>
        </w:tc>
        <w:tc>
          <w:tcPr>
            <w:tcW w:type="dxa" w:w="2439"/>
            <w:shd w:val="clear" w:fill="13283F"/>
          </w:tcPr>
          <w:p>
            <w:pPr>
              <w:spacing w:after="20"/>
              <w:jc w:val="both"/>
              <w:bidi w:val="1"/>
            </w:pPr>
            <w:r>
              <w:rPr>
                <w:rtl w:val="1"/>
                <w:rFonts w:cs="Arial"/>
              </w:rPr>
            </w:r>
            <w:r>
              <w:rPr>
                <w:rFonts w:ascii="Arial" w:hAnsi="Arial"/>
                <w:b/>
                <w:color w:val="FFFFFF"/>
                <w:sz w:val="17"/>
                <w:rtl w:val="1"/>
                <w:rFonts w:cs="Arial"/>
              </w:rPr>
              <w:t>عالميًا — السنوات ٦ إلى ١٠</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الأساسي: النمو التجاري والتموضع في السوق</w:t>
            </w:r>
          </w:p>
        </w:tc>
        <w:tc>
          <w:tcPr>
            <w:tcW w:type="dxa" w:w="2439"/>
            <w:shd w:val="clear" w:fill="F4F6F8"/>
          </w:tcPr>
          <w:p>
            <w:pPr>
              <w:spacing w:after="20"/>
              <w:jc w:val="both"/>
              <w:bidi w:val="1"/>
            </w:pPr>
            <w:r>
              <w:rPr>
                <w:rtl w:val="1"/>
                <w:rFonts w:cs="Arial"/>
              </w:rPr>
            </w:r>
            <w:r>
              <w:rPr>
                <w:rFonts w:ascii="Arial" w:hAnsi="Arial"/>
                <w:color w:val="13283F"/>
                <w:sz w:val="17"/>
                <w:rtl w:val="1"/>
                <w:rFonts w:cs="Arial"/>
              </w:rPr>
              <w:t>ترسيخ ثرا كمنظومة عجمان الرائدة.</w:t>
            </w:r>
          </w:p>
        </w:tc>
        <w:tc>
          <w:tcPr>
            <w:tcW w:type="dxa" w:w="2439"/>
            <w:shd w:val="clear" w:fill="F4F6F8"/>
          </w:tcPr>
          <w:p>
            <w:pPr>
              <w:spacing w:after="20"/>
              <w:jc w:val="both"/>
              <w:bidi w:val="1"/>
            </w:pPr>
            <w:r>
              <w:rPr>
                <w:rtl w:val="1"/>
                <w:rFonts w:cs="Arial"/>
              </w:rPr>
            </w:r>
            <w:r>
              <w:rPr>
                <w:rFonts w:ascii="Arial" w:hAnsi="Arial"/>
                <w:color w:val="13283F"/>
                <w:sz w:val="17"/>
                <w:rtl w:val="1"/>
                <w:rFonts w:cs="Arial"/>
              </w:rPr>
              <w:t>توليد طلب إقليمي.</w:t>
            </w:r>
          </w:p>
        </w:tc>
        <w:tc>
          <w:tcPr>
            <w:tcW w:type="dxa" w:w="2439"/>
            <w:shd w:val="clear" w:fill="F4F6F8"/>
          </w:tcPr>
          <w:p>
            <w:pPr>
              <w:spacing w:after="20"/>
              <w:jc w:val="both"/>
              <w:bidi w:val="1"/>
            </w:pPr>
            <w:r>
              <w:rPr>
                <w:rtl w:val="1"/>
                <w:rFonts w:cs="Arial"/>
              </w:rPr>
            </w:r>
            <w:r>
              <w:rPr>
                <w:rFonts w:ascii="Arial" w:hAnsi="Arial"/>
                <w:color w:val="13283F"/>
                <w:sz w:val="17"/>
                <w:rtl w:val="1"/>
                <w:rFonts w:cs="Arial"/>
              </w:rPr>
              <w:t>بناء حضور دولي والجاهزية للطرح العام.</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الثانوي: السمعة والثقة</w:t>
            </w:r>
          </w:p>
        </w:tc>
        <w:tc>
          <w:tcPr>
            <w:tcW w:type="dxa" w:w="2439"/>
            <w:shd w:val="clear" w:fill="E9EDF1"/>
          </w:tcPr>
          <w:p>
            <w:pPr>
              <w:spacing w:after="20"/>
              <w:jc w:val="both"/>
              <w:bidi w:val="1"/>
            </w:pPr>
            <w:r>
              <w:rPr>
                <w:rtl w:val="1"/>
                <w:rFonts w:cs="Arial"/>
              </w:rPr>
            </w:r>
            <w:r>
              <w:rPr>
                <w:rFonts w:ascii="Arial" w:hAnsi="Arial"/>
                <w:color w:val="13283F"/>
                <w:sz w:val="17"/>
                <w:rtl w:val="1"/>
                <w:rFonts w:cs="Arial"/>
              </w:rPr>
              <w:t>إثبات قيمة ملموسة عبر الوظائف والنمو.</w:t>
            </w:r>
          </w:p>
        </w:tc>
        <w:tc>
          <w:tcPr>
            <w:tcW w:type="dxa" w:w="2439"/>
            <w:shd w:val="clear" w:fill="E9EDF1"/>
          </w:tcPr>
          <w:p>
            <w:pPr>
              <w:spacing w:after="20"/>
              <w:jc w:val="both"/>
              <w:bidi w:val="1"/>
            </w:pPr>
            <w:r>
              <w:rPr>
                <w:rtl w:val="1"/>
                <w:rFonts w:cs="Arial"/>
              </w:rPr>
            </w:r>
            <w:r>
              <w:rPr>
                <w:rFonts w:ascii="Arial" w:hAnsi="Arial"/>
                <w:color w:val="13283F"/>
                <w:sz w:val="17"/>
                <w:rtl w:val="1"/>
                <w:rFonts w:cs="Arial"/>
              </w:rPr>
              <w:t>بناء المرجعية عبر الشراكات.</w:t>
            </w:r>
          </w:p>
        </w:tc>
        <w:tc>
          <w:tcPr>
            <w:tcW w:type="dxa" w:w="2439"/>
            <w:shd w:val="clear" w:fill="E9EDF1"/>
          </w:tcPr>
          <w:p>
            <w:pPr>
              <w:spacing w:after="20"/>
              <w:jc w:val="both"/>
              <w:bidi w:val="1"/>
            </w:pPr>
            <w:r>
              <w:rPr>
                <w:rtl w:val="1"/>
                <w:rFonts w:cs="Arial"/>
              </w:rPr>
            </w:r>
            <w:r>
              <w:rPr>
                <w:rFonts w:ascii="Arial" w:hAnsi="Arial"/>
                <w:color w:val="13283F"/>
                <w:sz w:val="17"/>
                <w:rtl w:val="1"/>
                <w:rFonts w:cs="Arial"/>
              </w:rPr>
              <w:t>تعزيز الثقة في الحوكمة والأداء.</w:t>
            </w:r>
          </w:p>
        </w:tc>
      </w:tr>
    </w:tbl>
    <w:p>
      <w:pPr>
        <w:spacing w:after="80"/>
      </w:pPr>
    </w:p>
    <w:p>
      <w:pPr>
        <w:spacing w:before="0" w:after="100"/>
        <w:jc w:val="both"/>
        <w:bidi w:val="1"/>
      </w:pPr>
      <w:r>
        <w:rPr>
          <w:rFonts w:ascii="Arial" w:hAnsi="Arial"/>
          <w:b w:val="0"/>
          <w:i w:val="0"/>
          <w:color w:val="13283F"/>
          <w:sz w:val="18"/>
          <w:rtl w:val="1"/>
          <w:rFonts w:cs="Arial"/>
        </w:rPr>
        <w:t>تشمل وسائل الإعلام ذات الأولوية الإعلام العربي والإنجليزي في الدولة، وإعلام الأعمال والاستثمار، والإعلام الحكومي، وإعلام الشركات الناشئة، والإعلام التقني، وإعلام دول مجلس التعاون.</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الهدف</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المقاييس الإرشادية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ترسيخ المرجعية والوضوح</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استيعاب الرسالة، وجودة التغطية، وحصة الصوت ذات الصلة، واعتراف أصحاب المصلحة، واتساق العلامة.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توليد المشاركة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الطلبات المؤهلة، وطلبات الدفعات، وتسجيلات الفعاليات، واستفسارات المساحات/الخدمات، وعملاء الشراكة المحتملون، واهتمام المستثمرين.</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دعم النتائج الاقتصادية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الشركات المدعومة المتحقق منها، والوظائف الممكّنة، ورأس المال الميسّر، والفرص التجارية، والاستمرارية/النمو، ونتائج دخول السوق.</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بناء المجتمع والشمول</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مشاركة مواطني الدولة والنساء والشباب وأصحاب الهمم والطلبة ورواد الأعمال من مصفوت والمنامة.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تعزيز الأداء الرقمي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الانتشار المؤهل، وجودة التفاعل، وإكمال الفيديو، وتحويل الموقع، وتكلفة الإجراء المؤهل، وجودة العملاء المحتملين.</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حماية السمعة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الدقة، والالتزام بالاعتماد، وزمن الاستجابة، واحتواء القضايا، وانعدام الادعاءات غير المدعومة.</w:t>
            </w:r>
          </w:p>
        </w:tc>
      </w:tr>
    </w:tbl>
    <w:p>
      <w:pPr>
        <w:spacing w:after="80"/>
      </w:pPr>
    </w:p>
    <w:p>
      <w:pPr>
        <w:spacing w:before="0" w:after="100"/>
        <w:jc w:val="both"/>
        <w:bidi w:val="1"/>
      </w:pPr>
      <w:r>
        <w:rPr>
          <w:rFonts w:ascii="Arial" w:hAnsi="Arial"/>
          <w:b w:val="0"/>
          <w:i w:val="0"/>
          <w:color w:val="13283F"/>
          <w:sz w:val="18"/>
          <w:rtl w:val="1"/>
          <w:rFonts w:cs="Arial"/>
        </w:rPr>
        <w:t>سيتم تحديد خطوط الأساس واعتماد الأهداف بعد التعبئة. ولا يجوز للوكالة اختلاق أرقام أداء أو مستفيدين أو استثمار. ويجب أن تميّز لوحة الاتصال بين النتائج المتحقق منها والفرص قيد الإنجاز والأهداف والطموحات.</w:t>
      </w:r>
    </w:p>
    <w:p>
      <w:pPr>
        <w:spacing w:before="360" w:after="120"/>
        <w:jc w:val="right"/>
        <w:bidi w:val="1"/>
      </w:pPr>
      <w:r>
        <w:rPr>
          <w:rFonts w:ascii="Arial" w:hAnsi="Arial"/>
          <w:b/>
          <w:i w:val="0"/>
          <w:color w:val="13283F"/>
          <w:sz w:val="34"/>
          <w:rtl w:val="1"/>
          <w:rFonts w:cs="Arial"/>
        </w:rPr>
        <w:t>١٠. الحوكمة والاعتمادات وضوابط المخاطر</w:t>
      </w:r>
    </w:p>
    <w:tbl>
      <w:tblPr>
        <w:tblStyle w:val="TableGrid"/>
        <w:tblW w:type="auto" w:w="0"/>
        <w:jc w:val="center"/>
        <w:tblLayout w:type="fixed"/>
        <w:tblLook w:firstColumn="1" w:firstRow="1" w:lastColumn="0" w:lastRow="0" w:noHBand="0" w:noVBand="1" w:val="04A0"/>
        <w:bidiVisual/>
      </w:tblPr>
      <w:tblGrid>
        <w:gridCol w:w="2439"/>
        <w:gridCol w:w="7539"/>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المجال</w:t>
            </w:r>
          </w:p>
        </w:tc>
        <w:tc>
          <w:tcPr>
            <w:tcW w:type="dxa" w:w="7539"/>
            <w:shd w:val="clear" w:fill="13283F"/>
          </w:tcPr>
          <w:p>
            <w:pPr>
              <w:spacing w:after="20"/>
              <w:jc w:val="both"/>
              <w:bidi w:val="1"/>
            </w:pPr>
            <w:r>
              <w:rPr>
                <w:rtl w:val="1"/>
                <w:rFonts w:cs="Arial"/>
              </w:rPr>
            </w:r>
            <w:r>
              <w:rPr>
                <w:rFonts w:ascii="Arial" w:hAnsi="Arial"/>
                <w:b/>
                <w:color w:val="FFFFFF"/>
                <w:sz w:val="17"/>
                <w:rtl w:val="1"/>
                <w:rFonts w:cs="Arial"/>
              </w:rPr>
              <w:t>المتطلب</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الاستقلالية المؤسسية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تعمل ثرا من خلال مجلس إدارتها وإدارتها وعلامتها وكياناتها التجارية، ولا يجوز تقديمها كدائرة حكومية.</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حوكمة العلامة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تحكم ثرا القابضة علامة المنظومة. ويجب أن تتوافق اتصالات الكيانات مع نظام العلامة الأم المعتمد.</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الاعتمادات</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لا يُنشر أي عنصر دون اعتماد عبر سير عمل الحوكمة المتفق عليه في ثرا. وعلى الوكالة اقتراح مصفوفة مسؤوليات وعملية اعتماد رقمية.</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البروتوكول</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تتطلب اتصالات رئيس مجلس الإدارة والمجلس والرئيس التنفيذي للمجموعة والقيادات الحكومية والفعاليات الرسمية ألقابًا وصورًا وتسلسلًا واعتمادات متوافقة مع البروتوكول.</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الادعاءات الاستثمارية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لا يجوز إصدار أي بيان يلمّح إلى إطلاق صندوق أو ترخيص أو اعتماد شرعي أو التزام استثماري أو عائد مضمون أو وضع محفظة أو جمع تمويل دون اعتماد مستندي.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ادعاءات الشراكة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لا تُعد ترتيبات السكن أو المدارس أو الرعاية الصحية أو التأشيرات أو الجامعات أو الرعاة أو المستثمرين أو الوصول إلى الأسواق شراكات علنية حتى تُوقَّع وتُعتمد.</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البيانات والخصوصية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الحصول على الأذونات والموافقات؛ والالتزام بمتطلبات الخصوصية والأمن السيبراني في الدولة؛ وتخزين البيانات في أنظمة معتمدة؛ وحماية القاصرين ومقدمي الطلبات.</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الملكية الفكرية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جميع الملفات النهائية وملفات العمل والأصول الخام والنطاقات والحسابات والبيانات وحقوق الاستخدام المكلَّف بها تعود للجهة المتعاقدة عند السداد.</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تصعيد الأزمات</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تصعيد فوري في حالات التضليل أو الشكاوى أو الحساسية السياسية/الدينية أو الحوادث السيبرانية أو الإضرار بالمستفيدين أو التهديدات السمعية. ولا يجوز الرد العلني المستقل على أي قضية جوهرية.</w:t>
            </w:r>
          </w:p>
        </w:tc>
      </w:tr>
    </w:tbl>
    <w:p>
      <w:pPr>
        <w:spacing w:after="80"/>
      </w:pPr>
    </w:p>
    <w:p>
      <w:pPr>
        <w:spacing w:before="360" w:after="120"/>
        <w:jc w:val="right"/>
        <w:bidi w:val="1"/>
      </w:pPr>
      <w:r>
        <w:rPr>
          <w:rFonts w:ascii="Arial" w:hAnsi="Arial"/>
          <w:b/>
          <w:i w:val="0"/>
          <w:color w:val="13283F"/>
          <w:sz w:val="34"/>
          <w:rtl w:val="1"/>
          <w:rFonts w:cs="Arial"/>
        </w:rPr>
        <w:t>١١. التحديات المطلوب من الوكالة معالجتها</w:t>
      </w:r>
    </w:p>
    <w:p>
      <w:pPr>
        <w:pStyle w:val="ListBullet"/>
        <w:spacing w:before="0" w:after="40"/>
        <w:jc w:val="both"/>
        <w:bidi w:val="1"/>
      </w:pPr>
      <w:r>
        <w:rPr>
          <w:rFonts w:ascii="Arial" w:hAnsi="Arial"/>
          <w:b w:val="0"/>
          <w:i w:val="0"/>
          <w:color w:val="13283F"/>
          <w:sz w:val="18"/>
          <w:rtl w:val="1"/>
          <w:rFonts w:cs="Arial"/>
        </w:rPr>
        <w:t>تحويل منظومة معقدة من ستة كيانات إلى قصة ثرا واحدة بسيطة ومتمايزة وذات مصداقية.</w:t>
      </w:r>
    </w:p>
    <w:p>
      <w:pPr>
        <w:pStyle w:val="ListBullet"/>
        <w:spacing w:before="0" w:after="40"/>
        <w:jc w:val="both"/>
        <w:bidi w:val="1"/>
      </w:pPr>
      <w:r>
        <w:rPr>
          <w:rFonts w:ascii="Arial" w:hAnsi="Arial"/>
          <w:b w:val="0"/>
          <w:i w:val="0"/>
          <w:color w:val="13283F"/>
          <w:sz w:val="18"/>
          <w:rtl w:val="1"/>
          <w:rFonts w:cs="Arial"/>
        </w:rPr>
        <w:t>بناء هيكل علامة ونظام هوية يمنح كل كيان وضوحًا دون تجزئة العلامة الأم.</w:t>
      </w:r>
    </w:p>
    <w:p>
      <w:pPr>
        <w:pStyle w:val="ListBullet"/>
        <w:spacing w:before="0" w:after="40"/>
        <w:jc w:val="both"/>
        <w:bidi w:val="1"/>
      </w:pPr>
      <w:r>
        <w:rPr>
          <w:rFonts w:ascii="Arial" w:hAnsi="Arial"/>
          <w:b w:val="0"/>
          <w:i w:val="0"/>
          <w:color w:val="13283F"/>
          <w:sz w:val="18"/>
          <w:rtl w:val="1"/>
          <w:rFonts w:cs="Arial"/>
        </w:rPr>
        <w:t>بناء وتنفيذ منصة إطلاق واتصال للسنة الأولى تحقق الوعي وتولّد مشاركة حقيقية من رواد الأعمال والمنشآت الصغيرة والمتوسطة والمستثمرين والشركات والمؤسسات.</w:t>
      </w:r>
    </w:p>
    <w:p>
      <w:pPr>
        <w:spacing w:before="360" w:after="120"/>
        <w:jc w:val="right"/>
        <w:bidi w:val="1"/>
      </w:pPr>
      <w:r>
        <w:rPr>
          <w:rFonts w:ascii="Arial" w:hAnsi="Arial"/>
          <w:b/>
          <w:i w:val="0"/>
          <w:color w:val="13283F"/>
          <w:sz w:val="34"/>
          <w:rtl w:val="1"/>
          <w:rFonts w:cs="Arial"/>
        </w:rPr>
        <w:t>١٢. مسؤوليات الوكالة ونموذج العمل</w:t>
      </w:r>
    </w:p>
    <w:p>
      <w:pPr>
        <w:pStyle w:val="ListBullet"/>
        <w:spacing w:before="0" w:after="40"/>
        <w:jc w:val="both"/>
        <w:bidi w:val="1"/>
      </w:pPr>
      <w:r>
        <w:rPr>
          <w:rFonts w:ascii="Arial" w:hAnsi="Arial"/>
          <w:b w:val="0"/>
          <w:i w:val="0"/>
          <w:color w:val="13283F"/>
          <w:sz w:val="18"/>
          <w:rtl w:val="1"/>
          <w:rFonts w:cs="Arial"/>
        </w:rPr>
        <w:t>تعيين مسؤول واحد معتمد للتعامل مع العميل، ورؤساء مسمّين للاستراتيجية والتحرير العربي والتحرير الإنجليزي والإبداع والعلاقات العامة والرقمي والإنتاج والأداء.</w:t>
      </w:r>
    </w:p>
    <w:p>
      <w:pPr>
        <w:pStyle w:val="ListBullet"/>
        <w:spacing w:before="0" w:after="40"/>
        <w:jc w:val="both"/>
        <w:bidi w:val="1"/>
      </w:pPr>
      <w:r>
        <w:rPr>
          <w:rFonts w:ascii="Arial" w:hAnsi="Arial"/>
          <w:b w:val="0"/>
          <w:i w:val="0"/>
          <w:color w:val="13283F"/>
          <w:sz w:val="18"/>
          <w:rtl w:val="1"/>
          <w:rFonts w:cs="Arial"/>
        </w:rPr>
        <w:t>تنفيذ العمل بشكل أساسي داخل الدولة وحضور الاجتماعات والإنتاج والفعاليات وجلسات أصحاب المصلحة في عجمان حسب الحاجة.</w:t>
      </w:r>
    </w:p>
    <w:p>
      <w:pPr>
        <w:pStyle w:val="ListBullet"/>
        <w:spacing w:before="0" w:after="40"/>
        <w:jc w:val="both"/>
        <w:bidi w:val="1"/>
      </w:pPr>
      <w:r>
        <w:rPr>
          <w:rFonts w:ascii="Arial" w:hAnsi="Arial"/>
          <w:b w:val="0"/>
          <w:i w:val="0"/>
          <w:color w:val="13283F"/>
          <w:sz w:val="18"/>
          <w:rtl w:val="1"/>
          <w:rFonts w:cs="Arial"/>
        </w:rPr>
        <w:t>الاحتفاظ بخطة عمل حيّة وسجل قرارات وسجل محتوى وسجل ادعاءات/أدلة وسجل مخاطر ومكتبة أصول.</w:t>
      </w:r>
    </w:p>
    <w:p>
      <w:pPr>
        <w:pStyle w:val="ListBullet"/>
        <w:spacing w:before="0" w:after="40"/>
        <w:jc w:val="both"/>
        <w:bidi w:val="1"/>
      </w:pPr>
      <w:r>
        <w:rPr>
          <w:rFonts w:ascii="Arial" w:hAnsi="Arial"/>
          <w:b w:val="0"/>
          <w:i w:val="0"/>
          <w:color w:val="13283F"/>
          <w:sz w:val="18"/>
          <w:rtl w:val="1"/>
          <w:rFonts w:cs="Arial"/>
        </w:rPr>
        <w:t>تقديم تقارير حالة أسبوعية خلال التعبئة والإطلاق، ثم مراجعات تشغيلية شهرية واستراتيجية ربع سنوية.</w:t>
      </w:r>
    </w:p>
    <w:p>
      <w:pPr>
        <w:pStyle w:val="ListBullet"/>
        <w:spacing w:before="0" w:after="40"/>
        <w:jc w:val="both"/>
        <w:bidi w:val="1"/>
      </w:pPr>
      <w:r>
        <w:rPr>
          <w:rFonts w:ascii="Arial" w:hAnsi="Arial"/>
          <w:b w:val="0"/>
          <w:i w:val="0"/>
          <w:color w:val="13283F"/>
          <w:sz w:val="18"/>
          <w:rtl w:val="1"/>
          <w:rFonts w:cs="Arial"/>
        </w:rPr>
        <w:t>تضمين جولتي تعديل مجمّعتين لكل مخرج رئيسي ما لم يُنص على خلاف ذلك؛ وتصحيح أخطاء الوكالة دون رسوم.</w:t>
      </w:r>
    </w:p>
    <w:p>
      <w:pPr>
        <w:pStyle w:val="ListBullet"/>
        <w:spacing w:before="0" w:after="40"/>
        <w:jc w:val="both"/>
        <w:bidi w:val="1"/>
      </w:pPr>
      <w:r>
        <w:rPr>
          <w:rFonts w:ascii="Arial" w:hAnsi="Arial"/>
          <w:b w:val="0"/>
          <w:i w:val="0"/>
          <w:color w:val="13283F"/>
          <w:sz w:val="18"/>
          <w:rtl w:val="1"/>
          <w:rFonts w:cs="Arial"/>
        </w:rPr>
        <w:t>توفير نقل المعرفة وتدريب المسؤولين والملفات المصدرية وبيانات الاعتماد ووثائق الإغلاق المنظمة.</w:t>
      </w:r>
    </w:p>
    <w:p>
      <w:pPr>
        <w:pStyle w:val="ListBullet"/>
        <w:spacing w:before="0" w:after="40"/>
        <w:jc w:val="both"/>
        <w:bidi w:val="1"/>
      </w:pPr>
      <w:r>
        <w:rPr>
          <w:rFonts w:ascii="Arial" w:hAnsi="Arial"/>
          <w:b w:val="0"/>
          <w:i w:val="0"/>
          <w:color w:val="13283F"/>
          <w:sz w:val="18"/>
          <w:rtl w:val="1"/>
          <w:rFonts w:cs="Arial"/>
        </w:rPr>
        <w:t>الإفصاح عن المتعاقدين من الباطن وتضارب المصالح والهوامش واستخدام الذكاء الاصطناعي والأصول الجاهزة والتراخيص وتبعيات الأطراف الثالثة. ولا يجوز نشر المحتوى المولَّد بالذكاء الاصطناعي دون مراجعة بشرية وفحص للحقوق واعتماد.</w:t>
      </w:r>
    </w:p>
    <w:p>
      <w:pPr>
        <w:spacing w:before="360" w:after="120"/>
        <w:jc w:val="right"/>
        <w:bidi w:val="1"/>
      </w:pPr>
      <w:r>
        <w:rPr>
          <w:rFonts w:ascii="Arial" w:hAnsi="Arial"/>
          <w:b/>
          <w:i w:val="0"/>
          <w:color w:val="13283F"/>
          <w:sz w:val="34"/>
          <w:rtl w:val="1"/>
          <w:rFonts w:cs="Arial"/>
        </w:rPr>
        <w:t>١٣. شروط الأهلية</w:t>
      </w:r>
    </w:p>
    <w:p>
      <w:pPr>
        <w:pStyle w:val="ListBullet"/>
        <w:spacing w:before="0" w:after="40"/>
        <w:jc w:val="both"/>
        <w:bidi w:val="1"/>
      </w:pPr>
      <w:r>
        <w:rPr>
          <w:rFonts w:ascii="Arial" w:hAnsi="Arial"/>
          <w:b w:val="0"/>
          <w:i w:val="0"/>
          <w:color w:val="13283F"/>
          <w:sz w:val="18"/>
          <w:rtl w:val="1"/>
          <w:rFonts w:cs="Arial"/>
        </w:rPr>
        <w:t>أن يكون مقدم العرض موجودًا ويزاول نشاطه فعليًا داخل الدولة وحاصلًا على رخصة تجارية سارية تغطي الأنشطة المقترحة.</w:t>
      </w:r>
    </w:p>
    <w:p>
      <w:pPr>
        <w:pStyle w:val="ListBullet"/>
        <w:spacing w:before="0" w:after="40"/>
        <w:jc w:val="both"/>
        <w:bidi w:val="1"/>
      </w:pPr>
      <w:r>
        <w:rPr>
          <w:rFonts w:ascii="Arial" w:hAnsi="Arial"/>
          <w:b w:val="0"/>
          <w:i w:val="0"/>
          <w:color w:val="13283F"/>
          <w:sz w:val="18"/>
          <w:rtl w:val="1"/>
          <w:rFonts w:cs="Arial"/>
        </w:rPr>
        <w:t>أن يكون مسجلًا كمورّد في بوابة المناقصات لحكومة عجمان (توريد) قبل تاريخ الإغلاق.</w:t>
      </w:r>
    </w:p>
    <w:p>
      <w:pPr>
        <w:pStyle w:val="ListBullet"/>
        <w:spacing w:before="0" w:after="40"/>
        <w:jc w:val="both"/>
        <w:bidi w:val="1"/>
      </w:pPr>
      <w:r>
        <w:rPr>
          <w:rFonts w:ascii="Arial" w:hAnsi="Arial"/>
          <w:b w:val="0"/>
          <w:i w:val="0"/>
          <w:color w:val="13283F"/>
          <w:sz w:val="18"/>
          <w:rtl w:val="1"/>
          <w:rFonts w:cs="Arial"/>
        </w:rPr>
        <w:t>أن يقدّم مقدم العرض الفائز الضمان البنكي المطلوب في وثائق المناقصة، صادرًا عن بنك مرخّص في الدولة وساري المفعول لمدة سنة من تاريخ توقيع العقد. ويجب أن يرافق العرض تعهد موقّع يؤكد القدرة على تقديمه.</w:t>
      </w:r>
    </w:p>
    <w:p>
      <w:pPr>
        <w:pStyle w:val="ListBullet"/>
        <w:spacing w:before="0" w:after="40"/>
        <w:jc w:val="both"/>
        <w:bidi w:val="1"/>
      </w:pPr>
      <w:r>
        <w:rPr>
          <w:rFonts w:ascii="Arial" w:hAnsi="Arial"/>
          <w:b w:val="0"/>
          <w:i w:val="0"/>
          <w:color w:val="13283F"/>
          <w:sz w:val="18"/>
          <w:rtl w:val="1"/>
          <w:rFonts w:cs="Arial"/>
        </w:rPr>
        <w:t>تقديم ملف الشركة التعريفي والرخصة التجارية وتفاصيل الملكية والمعلومات المالية المدققة أو الإدارية عند الطلب، وتغطية التأمين على المسؤولية المهنية حيثما ينطبق، والمؤهلات ذات الصلة.</w:t>
      </w:r>
    </w:p>
    <w:p>
      <w:pPr>
        <w:pStyle w:val="ListBullet"/>
        <w:spacing w:before="0" w:after="40"/>
        <w:jc w:val="both"/>
        <w:bidi w:val="1"/>
      </w:pPr>
      <w:r>
        <w:rPr>
          <w:rFonts w:ascii="Arial" w:hAnsi="Arial"/>
          <w:b w:val="0"/>
          <w:i w:val="0"/>
          <w:color w:val="13283F"/>
          <w:sz w:val="18"/>
          <w:rtl w:val="1"/>
          <w:rFonts w:cs="Arial"/>
        </w:rPr>
        <w:t>إثبات قدرة ثنائية اللغة (العربية/الإنجليزية) على مستوى كبار المتخصصين، وأعمال مماثلة في الدولة/الخليج تشمل العلامات المؤسسية وريادة الأعمال والاستثمار والحكومة أو التنمية الاقتصادية.</w:t>
      </w:r>
    </w:p>
    <w:p>
      <w:pPr>
        <w:pStyle w:val="ListBullet"/>
        <w:spacing w:before="0" w:after="40"/>
        <w:jc w:val="both"/>
        <w:bidi w:val="1"/>
      </w:pPr>
      <w:r>
        <w:rPr>
          <w:rFonts w:ascii="Arial" w:hAnsi="Arial"/>
          <w:b w:val="0"/>
          <w:i w:val="0"/>
          <w:color w:val="13283F"/>
          <w:sz w:val="18"/>
          <w:rtl w:val="1"/>
          <w:rFonts w:cs="Arial"/>
        </w:rPr>
        <w:t>الإفصاح عن جميع المتعاقدين من الباطن المقترحين، وأي تضارب مصالح فعلي أو محتمل، وأي عمل لصالح منظومات منافسة مباشرة.</w:t>
      </w:r>
    </w:p>
    <w:p>
      <w:pPr>
        <w:pStyle w:val="ListBullet"/>
        <w:spacing w:before="0" w:after="40"/>
        <w:jc w:val="both"/>
        <w:bidi w:val="1"/>
      </w:pPr>
      <w:r>
        <w:rPr>
          <w:rFonts w:ascii="Arial" w:hAnsi="Arial"/>
          <w:b w:val="0"/>
          <w:i w:val="0"/>
          <w:color w:val="13283F"/>
          <w:sz w:val="18"/>
          <w:rtl w:val="1"/>
          <w:rFonts w:cs="Arial"/>
        </w:rPr>
        <w:t>يجوز للجهة المتعاقدة التحقق من المراجع وتوافر الفريق ونسبة الأعمال في الملف والتراخيص والقدرة المالية.</w:t>
      </w:r>
    </w:p>
    <w:p>
      <w:pPr>
        <w:spacing w:before="360" w:after="120"/>
        <w:jc w:val="right"/>
        <w:bidi w:val="1"/>
      </w:pPr>
      <w:r>
        <w:rPr>
          <w:rFonts w:ascii="Arial" w:hAnsi="Arial"/>
          <w:b/>
          <w:i w:val="0"/>
          <w:color w:val="13283F"/>
          <w:sz w:val="34"/>
          <w:rtl w:val="1"/>
          <w:rFonts w:cs="Arial"/>
        </w:rPr>
        <w:t>١٤. متطلبات التقديم</w:t>
      </w:r>
    </w:p>
    <w:p>
      <w:pPr>
        <w:spacing w:before="0" w:after="100"/>
        <w:jc w:val="both"/>
        <w:bidi w:val="1"/>
      </w:pPr>
      <w:r>
        <w:rPr>
          <w:rFonts w:ascii="Arial" w:hAnsi="Arial"/>
          <w:b w:val="0"/>
          <w:i w:val="0"/>
          <w:color w:val="13283F"/>
          <w:sz w:val="18"/>
          <w:rtl w:val="1"/>
          <w:rFonts w:cs="Arial"/>
        </w:rPr>
        <w:t>تُقدَّم الحزمة الأولى في ملفين منفصلين: فني ومالي. وعلى مقدم العرض الذي يختار اقتراح الحزمة الثانية الاختيارية تقديم ملفين إضافيين مستقلين، أحدهما فني والآخر مالي، بحيث يمكن تقييم الخدمة الاختيارية وترسيتها بشكل مستقل.</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الملف</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المحتوى المطلوب</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الحزمة الأولى — فني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ملخص تنفيذي؛ والفهم؛ والاستكشاف والمنهجية؛ وتوجه العلامة/الهوية؛ والهيكل؛ والنهج ثنائي اللغة؛ وحل الموقع ونموذج الملكية؛ وخطة العلاقات العامة/الإعلام؛ ونهج الإطلاق؛ والحوكمة؛ والبرنامج؛ والفريق/السير الذاتية؛ والمخاطر؛ والافتراضات؛ ومقترح خلق القيمة؛ وأعمال مماثلة وثلاث مراجع لعملاء.</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الحزمة الأولى — مالي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أتعاب ثابتة ومتكررة مفصّلة حسب المخرج والمرحلة؛ وتكاليف الأطراف الثالثة؛ والتراخيص؛ وحقوق الاستخدام؛ والسفر؛ والجدول التجاري لبنود القيمة؛ والأسعار الاختيارية؛ والضرائب؛ ومراحل الدفع ومدة السريان. دون أي تبعية إلزامية مخفية.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الحزمة الثانية الاختيارية — فني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هيكل القنوات/الحسابات؛ والاستراتيجية؛ والنهج التحريري والمحتوى؛ ونموذج شهر؛ ونموذج الإنتاج؛ وسير عمل المجتمع والأزمات؛ ومنهج الإعلانات المدفوعة؛ والتقارير؛ والبرنامج؛ والفريق/السير الذاتية؛ ومقترح خلق القيمة؛ والافتراضات والأعمال المماثلة.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الحزمة الثانية الاختيارية — مالي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تسعير منفصل للسيناريوهين أ وب؛ والأتعاب الشهرية المفصّلة، والإنتاج، وتغطية الفعاليات، وإدارة الإعلانات المدفوعة، والجدول التجاري لبنود القيمة، والأسعار الاختيارية، والضرائب، وجدول الدفع، ومدة السريان.</w:t>
            </w:r>
          </w:p>
        </w:tc>
      </w:tr>
    </w:tbl>
    <w:p>
      <w:pPr>
        <w:spacing w:after="80"/>
      </w:pPr>
    </w:p>
    <w:p>
      <w:pPr>
        <w:spacing w:before="220" w:after="80"/>
        <w:jc w:val="right"/>
        <w:bidi w:val="1"/>
      </w:pPr>
      <w:r>
        <w:rPr>
          <w:rFonts w:ascii="Arial" w:hAnsi="Arial"/>
          <w:b/>
          <w:i w:val="0"/>
          <w:color w:val="13283F"/>
          <w:sz w:val="23"/>
          <w:rtl w:val="1"/>
          <w:rFonts w:cs="Arial"/>
        </w:rPr>
        <w:t>قواعد التقديم</w:t>
      </w:r>
    </w:p>
    <w:p>
      <w:pPr>
        <w:pStyle w:val="ListBullet"/>
        <w:spacing w:before="0" w:after="40"/>
        <w:jc w:val="both"/>
        <w:bidi w:val="1"/>
      </w:pPr>
      <w:r>
        <w:rPr>
          <w:rFonts w:ascii="Arial" w:hAnsi="Arial"/>
          <w:b w:val="0"/>
          <w:i w:val="0"/>
          <w:color w:val="13283F"/>
          <w:sz w:val="18"/>
          <w:rtl w:val="1"/>
          <w:rFonts w:cs="Arial"/>
        </w:rPr>
        <w:t>وسم كل ملف باسم مقدم العرض والحزمة وبيان «فني» أو «مالي».</w:t>
      </w:r>
    </w:p>
    <w:p>
      <w:pPr>
        <w:pStyle w:val="ListBullet"/>
        <w:spacing w:before="0" w:after="40"/>
        <w:jc w:val="both"/>
        <w:bidi w:val="1"/>
      </w:pPr>
      <w:r>
        <w:rPr>
          <w:rFonts w:ascii="Arial" w:hAnsi="Arial"/>
          <w:b w:val="0"/>
          <w:i w:val="0"/>
          <w:color w:val="13283F"/>
          <w:sz w:val="18"/>
          <w:rtl w:val="1"/>
          <w:rFonts w:cs="Arial"/>
        </w:rPr>
        <w:t>عدم إدراج الأسعار أو التعرفة أو عبارات «مجانًا» أو أي أرقام مالية في الملفات الفنية؛ وقد تؤدي المخالفة إلى الاستبعاد. واستخدام مراجع متطابقة لبنود القيمة في الملفين الفني والمالي.</w:t>
      </w:r>
    </w:p>
    <w:p>
      <w:pPr>
        <w:pStyle w:val="ListBullet"/>
        <w:spacing w:before="0" w:after="40"/>
        <w:jc w:val="both"/>
        <w:bidi w:val="1"/>
      </w:pPr>
      <w:r>
        <w:rPr>
          <w:rFonts w:ascii="Arial" w:hAnsi="Arial"/>
          <w:b w:val="0"/>
          <w:i w:val="0"/>
          <w:color w:val="13283F"/>
          <w:sz w:val="18"/>
          <w:rtl w:val="1"/>
          <w:rFonts w:cs="Arial"/>
        </w:rPr>
        <w:t>أن يكون كل ملف مكتملًا وقابلًا للتقييم بشكل مستقل. ولا يجوز أن تعتمد الحزمة الأولى على ترسية الحزمة الثانية الاختيارية.</w:t>
      </w:r>
    </w:p>
    <w:p>
      <w:pPr>
        <w:pStyle w:val="ListBullet"/>
        <w:spacing w:before="0" w:after="40"/>
        <w:jc w:val="both"/>
        <w:bidi w:val="1"/>
      </w:pPr>
      <w:r>
        <w:rPr>
          <w:rFonts w:ascii="Arial" w:hAnsi="Arial"/>
          <w:b w:val="0"/>
          <w:i w:val="0"/>
          <w:color w:val="13283F"/>
          <w:sz w:val="18"/>
          <w:rtl w:val="1"/>
          <w:rFonts w:cs="Arial"/>
        </w:rPr>
        <w:t>يجوز تقديم الحزمة الأولى فقط، أو الحزمة الثانية الاختيارية فقط، أو كليهما، وفق شروط الأهلية وقواعد التقديم.</w:t>
      </w:r>
    </w:p>
    <w:p>
      <w:pPr>
        <w:pStyle w:val="ListBullet"/>
        <w:spacing w:before="0" w:after="40"/>
        <w:jc w:val="both"/>
        <w:bidi w:val="1"/>
      </w:pPr>
      <w:r>
        <w:rPr>
          <w:rFonts w:ascii="Arial" w:hAnsi="Arial"/>
          <w:b w:val="0"/>
          <w:i w:val="0"/>
          <w:color w:val="13283F"/>
          <w:sz w:val="18"/>
          <w:rtl w:val="1"/>
          <w:rFonts w:cs="Arial"/>
        </w:rPr>
        <w:t>بيان كل استثناء وتبعية ومسؤولية على العميل وافتراض. ويُعد السكوت شمولًا حيثما كان ذلك ضروريًا بشكل معقول لتحقيق النتيجة المذكورة.</w:t>
      </w:r>
    </w:p>
    <w:p>
      <w:pPr>
        <w:pStyle w:val="ListBullet"/>
        <w:spacing w:before="0" w:after="40"/>
        <w:jc w:val="both"/>
        <w:bidi w:val="1"/>
      </w:pPr>
      <w:r>
        <w:rPr>
          <w:rFonts w:ascii="Arial" w:hAnsi="Arial"/>
          <w:b w:val="0"/>
          <w:i w:val="0"/>
          <w:color w:val="13283F"/>
          <w:sz w:val="18"/>
          <w:rtl w:val="1"/>
          <w:rFonts w:cs="Arial"/>
        </w:rPr>
        <w:t>تُقيَّم العروض الفنية أولًا؛ ولا تُفتح العروض المالية إلا لمقدمي العروض الذين يجتازون الحد الفني للحزمة المعنية.</w:t>
      </w:r>
    </w:p>
    <w:p>
      <w:pPr>
        <w:pStyle w:val="ListBullet"/>
        <w:spacing w:before="0" w:after="40"/>
        <w:jc w:val="both"/>
        <w:bidi w:val="1"/>
      </w:pPr>
      <w:r>
        <w:rPr>
          <w:rFonts w:ascii="Arial" w:hAnsi="Arial"/>
          <w:b w:val="0"/>
          <w:i w:val="0"/>
          <w:color w:val="13283F"/>
          <w:sz w:val="18"/>
          <w:rtl w:val="1"/>
          <w:rFonts w:cs="Arial"/>
        </w:rPr>
        <w:t>يجب أن تحترم العروض ودراسات الحالة ونماذج الأعمال السرية وأن تحدد دور مقدم العرض الفعلي.</w:t>
      </w:r>
    </w:p>
    <w:p>
      <w:pPr>
        <w:spacing w:before="360" w:after="120"/>
        <w:jc w:val="right"/>
        <w:bidi w:val="1"/>
      </w:pPr>
      <w:r>
        <w:rPr>
          <w:rFonts w:ascii="Arial" w:hAnsi="Arial"/>
          <w:b/>
          <w:i w:val="0"/>
          <w:color w:val="13283F"/>
          <w:sz w:val="34"/>
          <w:rtl w:val="1"/>
          <w:rFonts w:cs="Arial"/>
        </w:rPr>
        <w:t>١٥. إطار التقييم الفني</w:t>
      </w:r>
    </w:p>
    <w:tbl>
      <w:tblPr>
        <w:tblStyle w:val="TableGrid"/>
        <w:tblW w:type="auto" w:w="0"/>
        <w:jc w:val="center"/>
        <w:tblLayout w:type="fixed"/>
        <w:tblLook w:firstColumn="1" w:firstRow="1" w:lastColumn="0" w:lastRow="0" w:noHBand="0" w:noVBand="1" w:val="04A0"/>
        <w:bidiVisual/>
      </w:tblPr>
      <w:tblGrid>
        <w:gridCol w:w="7761"/>
        <w:gridCol w:w="2217"/>
      </w:tblGrid>
      <w:tr>
        <w:tc>
          <w:tcPr>
            <w:tcW w:type="dxa" w:w="7761"/>
            <w:shd w:val="clear" w:fill="13283F"/>
          </w:tcPr>
          <w:p>
            <w:pPr>
              <w:spacing w:after="20"/>
              <w:jc w:val="both"/>
              <w:bidi w:val="1"/>
            </w:pPr>
            <w:r>
              <w:rPr>
                <w:rtl w:val="1"/>
                <w:rFonts w:cs="Arial"/>
              </w:rPr>
            </w:r>
            <w:r>
              <w:rPr>
                <w:rFonts w:ascii="Arial" w:hAnsi="Arial"/>
                <w:b/>
                <w:color w:val="FFFFFF"/>
                <w:sz w:val="17"/>
                <w:rtl w:val="1"/>
                <w:rFonts w:cs="Arial"/>
              </w:rPr>
              <w:t>المعيار</w:t>
            </w:r>
          </w:p>
        </w:tc>
        <w:tc>
          <w:tcPr>
            <w:tcW w:type="dxa" w:w="2217"/>
            <w:shd w:val="clear" w:fill="13283F"/>
          </w:tcPr>
          <w:p>
            <w:pPr>
              <w:spacing w:after="20"/>
              <w:jc w:val="both"/>
              <w:bidi w:val="1"/>
            </w:pPr>
            <w:r>
              <w:rPr>
                <w:rtl w:val="1"/>
                <w:rFonts w:cs="Arial"/>
              </w:rPr>
            </w:r>
            <w:r>
              <w:rPr>
                <w:rFonts w:ascii="Arial" w:hAnsi="Arial"/>
                <w:b/>
                <w:color w:val="FFFFFF"/>
                <w:sz w:val="17"/>
                <w:rtl w:val="1"/>
                <w:rFonts w:cs="Arial"/>
              </w:rPr>
              <w:t>الوزن</w:t>
            </w:r>
          </w:p>
        </w:tc>
      </w:tr>
      <w:tr>
        <w:tc>
          <w:tcPr>
            <w:tcW w:type="dxa" w:w="7761"/>
            <w:shd w:val="clear" w:fill="F4F6F8"/>
          </w:tcPr>
          <w:p>
            <w:pPr>
              <w:spacing w:after="20"/>
              <w:jc w:val="both"/>
              <w:bidi w:val="1"/>
            </w:pPr>
            <w:r>
              <w:rPr>
                <w:rtl w:val="1"/>
                <w:rFonts w:cs="Arial"/>
              </w:rPr>
            </w:r>
            <w:r>
              <w:rPr>
                <w:rFonts w:ascii="Arial" w:hAnsi="Arial"/>
                <w:b/>
                <w:color w:val="13283F"/>
                <w:sz w:val="17"/>
                <w:rtl w:val="1"/>
                <w:rFonts w:cs="Arial"/>
              </w:rPr>
              <w:t>الفهم الاستراتيجي لثرا ونموذج الكيانات الستة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t>٢٠٪</w:t>
            </w:r>
          </w:p>
        </w:tc>
      </w:tr>
      <w:tr>
        <w:tc>
          <w:tcPr>
            <w:tcW w:type="dxa" w:w="7761"/>
            <w:shd w:val="clear" w:fill="E9EDF1"/>
          </w:tcPr>
          <w:p>
            <w:pPr>
              <w:spacing w:after="20"/>
              <w:jc w:val="both"/>
              <w:bidi w:val="1"/>
            </w:pPr>
            <w:r>
              <w:rPr>
                <w:rtl w:val="1"/>
                <w:rFonts w:cs="Arial"/>
              </w:rPr>
            </w:r>
            <w:r>
              <w:rPr>
                <w:rFonts w:ascii="Arial" w:hAnsi="Arial"/>
                <w:b/>
                <w:color w:val="13283F"/>
                <w:sz w:val="17"/>
                <w:rtl w:val="1"/>
                <w:rFonts w:cs="Arial"/>
              </w:rPr>
              <w:t>جودة المنهجية والحل المقترح وأصالتهما وقابليتهما للتطبيق</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t>١٥٪</w:t>
            </w:r>
          </w:p>
        </w:tc>
      </w:tr>
      <w:tr>
        <w:tc>
          <w:tcPr>
            <w:tcW w:type="dxa" w:w="7761"/>
            <w:shd w:val="clear" w:fill="F4F6F8"/>
          </w:tcPr>
          <w:p>
            <w:pPr>
              <w:spacing w:after="20"/>
              <w:jc w:val="both"/>
              <w:bidi w:val="1"/>
            </w:pPr>
            <w:r>
              <w:rPr>
                <w:rtl w:val="1"/>
                <w:rFonts w:cs="Arial"/>
              </w:rPr>
            </w:r>
            <w:r>
              <w:rPr>
                <w:rFonts w:ascii="Arial" w:hAnsi="Arial"/>
                <w:b/>
                <w:color w:val="13283F"/>
                <w:sz w:val="17"/>
                <w:rtl w:val="1"/>
                <w:rFonts w:cs="Arial"/>
              </w:rPr>
              <w:t>الخبرة ذات الصلة في الدولة/الخليج والنتائج المثبتة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t>١٥٪</w:t>
            </w:r>
          </w:p>
        </w:tc>
      </w:tr>
      <w:tr>
        <w:tc>
          <w:tcPr>
            <w:tcW w:type="dxa" w:w="7761"/>
            <w:shd w:val="clear" w:fill="E9EDF1"/>
          </w:tcPr>
          <w:p>
            <w:pPr>
              <w:spacing w:after="20"/>
              <w:jc w:val="both"/>
              <w:bidi w:val="1"/>
            </w:pPr>
            <w:r>
              <w:rPr>
                <w:rtl w:val="1"/>
                <w:rFonts w:cs="Arial"/>
              </w:rPr>
            </w:r>
            <w:r>
              <w:rPr>
                <w:rFonts w:ascii="Arial" w:hAnsi="Arial"/>
                <w:b/>
                <w:color w:val="13283F"/>
                <w:sz w:val="17"/>
                <w:rtl w:val="1"/>
                <w:rFonts w:cs="Arial"/>
              </w:rPr>
              <w:t>القدرة الاستراتيجية والكتابية والإبداعية ثنائية اللغة</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t>١٥٪</w:t>
            </w:r>
          </w:p>
        </w:tc>
      </w:tr>
      <w:tr>
        <w:tc>
          <w:tcPr>
            <w:tcW w:type="dxa" w:w="7761"/>
            <w:shd w:val="clear" w:fill="F4F6F8"/>
          </w:tcPr>
          <w:p>
            <w:pPr>
              <w:spacing w:after="20"/>
              <w:jc w:val="both"/>
              <w:bidi w:val="1"/>
            </w:pPr>
            <w:r>
              <w:rPr>
                <w:rtl w:val="1"/>
                <w:rFonts w:cs="Arial"/>
              </w:rPr>
            </w:r>
            <w:r>
              <w:rPr>
                <w:rFonts w:ascii="Arial" w:hAnsi="Arial"/>
                <w:b/>
                <w:color w:val="13283F"/>
                <w:sz w:val="17"/>
                <w:rtl w:val="1"/>
                <w:rFonts w:cs="Arial"/>
              </w:rPr>
              <w:t>الفريق الأول المسمّى وتوافره ونموذج الحوكمة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t>١٥٪</w:t>
            </w:r>
          </w:p>
        </w:tc>
      </w:tr>
      <w:tr>
        <w:tc>
          <w:tcPr>
            <w:tcW w:type="dxa" w:w="7761"/>
            <w:shd w:val="clear" w:fill="E9EDF1"/>
          </w:tcPr>
          <w:p>
            <w:pPr>
              <w:spacing w:after="20"/>
              <w:jc w:val="both"/>
              <w:bidi w:val="1"/>
            </w:pPr>
            <w:r>
              <w:rPr>
                <w:rtl w:val="1"/>
                <w:rFonts w:cs="Arial"/>
              </w:rPr>
            </w:r>
            <w:r>
              <w:rPr>
                <w:rFonts w:ascii="Arial" w:hAnsi="Arial"/>
                <w:b/>
                <w:color w:val="13283F"/>
                <w:sz w:val="17"/>
                <w:rtl w:val="1"/>
                <w:rFonts w:cs="Arial"/>
              </w:rPr>
              <w:t>خطة التنفيذ وإدارة المخاطر وقابلية التوسع ونقل المعرفة</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t>١٠٪</w:t>
            </w:r>
          </w:p>
        </w:tc>
      </w:tr>
      <w:tr>
        <w:tc>
          <w:tcPr>
            <w:tcW w:type="dxa" w:w="7761"/>
            <w:shd w:val="clear" w:fill="F4F6F8"/>
          </w:tcPr>
          <w:p>
            <w:pPr>
              <w:spacing w:after="20"/>
              <w:jc w:val="both"/>
              <w:bidi w:val="1"/>
            </w:pPr>
            <w:r>
              <w:rPr>
                <w:rtl w:val="1"/>
                <w:rFonts w:cs="Arial"/>
              </w:rPr>
            </w:r>
            <w:r>
              <w:rPr>
                <w:rFonts w:ascii="Arial" w:hAnsi="Arial"/>
                <w:b/>
                <w:color w:val="13283F"/>
                <w:sz w:val="17"/>
                <w:rtl w:val="1"/>
                <w:rFonts w:cs="Arial"/>
              </w:rPr>
              <w:t>خلق قيمة ذي مصداقية وقابل للقياس يتجاوز الحد الأدنى للامتثال</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t>٥٪</w:t>
            </w:r>
          </w:p>
        </w:tc>
      </w:tr>
      <w:tr>
        <w:tc>
          <w:tcPr>
            <w:tcW w:type="dxa" w:w="7761"/>
            <w:shd w:val="clear" w:fill="E9EDF1"/>
          </w:tcPr>
          <w:p>
            <w:pPr>
              <w:spacing w:after="20"/>
              <w:jc w:val="both"/>
              <w:bidi w:val="1"/>
            </w:pPr>
            <w:r>
              <w:rPr>
                <w:rtl w:val="1"/>
                <w:rFonts w:cs="Arial"/>
              </w:rPr>
            </w:r>
            <w:r>
              <w:rPr>
                <w:rFonts w:ascii="Arial" w:hAnsi="Arial"/>
                <w:b/>
                <w:color w:val="13283F"/>
                <w:sz w:val="17"/>
                <w:rtl w:val="1"/>
                <w:rFonts w:cs="Arial"/>
              </w:rPr>
              <w:t>العرض والاستجابة لمتطلبات الاستيضاح/العرض التقديمي</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t>٥٪</w:t>
            </w:r>
          </w:p>
        </w:tc>
      </w:tr>
    </w:tbl>
    <w:p>
      <w:pPr>
        <w:spacing w:after="80"/>
      </w:pPr>
    </w:p>
    <w:p>
      <w:pPr>
        <w:spacing w:before="0" w:after="100"/>
        <w:jc w:val="both"/>
        <w:bidi w:val="1"/>
      </w:pPr>
      <w:r>
        <w:rPr>
          <w:rFonts w:ascii="Arial" w:hAnsi="Arial"/>
          <w:b w:val="0"/>
          <w:i w:val="0"/>
          <w:color w:val="13283F"/>
          <w:sz w:val="18"/>
          <w:rtl w:val="1"/>
          <w:rFonts w:cs="Arial"/>
        </w:rPr>
        <w:t>الحد الأدنى الفني: ٧٠٪ لكل حزمة. وتُقيَّم الحزمة الأولى والحزمة الثانية الاختيارية وتُرتَّبان بشكل منفصل. ولا أثر للمشاركة أو عدم المشاركة في الحزمة الثانية على درجة الحزمة الأولى. ويُقيَّم خلق القيمة على أساس الصلة والأدلة والجدوى والفائدة القابلة للقياس وقابلية النقل وانعدام التبعية المخفية — لا على عدد الأفكار المقترحة. ويجوز للجهة المتعاقدة تعديل معادلة التقييم التجاري في وثائق المناقصة الرسمية، وتسود تلك الوثائق في حال التعارض.</w:t>
      </w:r>
    </w:p>
    <w:p>
      <w:pPr>
        <w:spacing w:before="360" w:after="120"/>
        <w:jc w:val="right"/>
        <w:bidi w:val="1"/>
      </w:pPr>
      <w:r>
        <w:rPr>
          <w:rFonts w:ascii="Arial" w:hAnsi="Arial"/>
          <w:b/>
          <w:i w:val="0"/>
          <w:color w:val="13283F"/>
          <w:sz w:val="34"/>
          <w:rtl w:val="1"/>
          <w:rFonts w:cs="Arial"/>
        </w:rPr>
        <w:t>١٦. مراحل التنفيذ الإرشادية</w:t>
      </w:r>
    </w:p>
    <w:tbl>
      <w:tblPr>
        <w:tblStyle w:val="TableGrid"/>
        <w:tblW w:type="auto" w:w="0"/>
        <w:jc w:val="center"/>
        <w:tblLayout w:type="fixed"/>
        <w:tblLook w:firstColumn="1" w:firstRow="1" w:lastColumn="0" w:lastRow="0" w:noHBand="0" w:noVBand="1" w:val="04A0"/>
        <w:bidiVisual/>
      </w:tblPr>
      <w:tblGrid>
        <w:gridCol w:w="2661"/>
        <w:gridCol w:w="1995"/>
        <w:gridCol w:w="5322"/>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المرحلة</w:t>
            </w:r>
          </w:p>
        </w:tc>
        <w:tc>
          <w:tcPr>
            <w:tcW w:type="dxa" w:w="1996"/>
            <w:shd w:val="clear" w:fill="13283F"/>
          </w:tcPr>
          <w:p>
            <w:pPr>
              <w:spacing w:after="20"/>
              <w:jc w:val="both"/>
              <w:bidi w:val="1"/>
            </w:pPr>
            <w:r>
              <w:rPr>
                <w:rtl w:val="1"/>
                <w:rFonts w:cs="Arial"/>
              </w:rPr>
            </w:r>
            <w:r>
              <w:rPr>
                <w:rFonts w:ascii="Arial" w:hAnsi="Arial"/>
                <w:b/>
                <w:color w:val="FFFFFF"/>
                <w:sz w:val="17"/>
                <w:rtl w:val="1"/>
                <w:rFonts w:cs="Arial"/>
              </w:rPr>
              <w:t>التوقيت الإرشادي</w:t>
            </w:r>
          </w:p>
        </w:tc>
        <w:tc>
          <w:tcPr>
            <w:tcW w:type="dxa" w:w="5322"/>
            <w:shd w:val="clear" w:fill="13283F"/>
          </w:tcPr>
          <w:p>
            <w:pPr>
              <w:spacing w:after="20"/>
              <w:jc w:val="both"/>
              <w:bidi w:val="1"/>
            </w:pPr>
            <w:r>
              <w:rPr>
                <w:rtl w:val="1"/>
                <w:rFonts w:cs="Arial"/>
              </w:rPr>
            </w:r>
            <w:r>
              <w:rPr>
                <w:rFonts w:ascii="Arial" w:hAnsi="Arial"/>
                <w:b/>
                <w:color w:val="FFFFFF"/>
                <w:sz w:val="17"/>
                <w:rtl w:val="1"/>
                <w:rFonts w:cs="Arial"/>
              </w:rPr>
              <w:t>المخرجات الأساسية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١. التعبئة والاستكشاف</w:t>
            </w:r>
          </w:p>
        </w:tc>
        <w:tc>
          <w:tcPr>
            <w:tcW w:type="dxa" w:w="1996"/>
            <w:shd w:val="clear" w:fill="F4F6F8"/>
          </w:tcPr>
          <w:p>
            <w:pPr>
              <w:spacing w:after="20"/>
              <w:jc w:val="both"/>
              <w:bidi w:val="1"/>
            </w:pPr>
            <w:r>
              <w:rPr>
                <w:rtl w:val="1"/>
                <w:rFonts w:cs="Arial"/>
              </w:rPr>
            </w:r>
            <w:r>
              <w:rPr>
                <w:rFonts w:ascii="Arial" w:hAnsi="Arial"/>
                <w:color w:val="13283F"/>
                <w:sz w:val="17"/>
                <w:rtl w:val="1"/>
                <w:rFonts w:cs="Arial"/>
              </w:rPr>
              <w:t>الأسابيع ١–٣</w:t>
            </w:r>
          </w:p>
        </w:tc>
        <w:tc>
          <w:tcPr>
            <w:tcW w:type="dxa" w:w="5322"/>
            <w:shd w:val="clear" w:fill="F4F6F8"/>
          </w:tcPr>
          <w:p>
            <w:pPr>
              <w:spacing w:after="20"/>
              <w:jc w:val="both"/>
              <w:bidi w:val="1"/>
            </w:pPr>
            <w:r>
              <w:rPr>
                <w:rtl w:val="1"/>
                <w:rFonts w:cs="Arial"/>
              </w:rPr>
            </w:r>
            <w:r>
              <w:rPr>
                <w:rFonts w:ascii="Arial" w:hAnsi="Arial"/>
                <w:color w:val="13283F"/>
                <w:sz w:val="17"/>
                <w:rtl w:val="1"/>
                <w:rFonts w:cs="Arial"/>
              </w:rPr>
              <w:t>الحوكمة، والمقابلات، والبحوث، والتدقيق، وخط الأساس، وخطة العمل المعتمدة.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٢. الاستراتيجية والهيكل</w:t>
            </w:r>
          </w:p>
        </w:tc>
        <w:tc>
          <w:tcPr>
            <w:tcW w:type="dxa" w:w="1996"/>
            <w:shd w:val="clear" w:fill="E9EDF1"/>
          </w:tcPr>
          <w:p>
            <w:pPr>
              <w:spacing w:after="20"/>
              <w:jc w:val="both"/>
              <w:bidi w:val="1"/>
            </w:pPr>
            <w:r>
              <w:rPr>
                <w:rtl w:val="1"/>
                <w:rFonts w:cs="Arial"/>
              </w:rPr>
            </w:r>
            <w:r>
              <w:rPr>
                <w:rFonts w:ascii="Arial" w:hAnsi="Arial"/>
                <w:color w:val="13283F"/>
                <w:sz w:val="17"/>
                <w:rtl w:val="1"/>
                <w:rFonts w:cs="Arial"/>
              </w:rPr>
              <w:t>الأسابيع ٣–٧</w:t>
            </w:r>
          </w:p>
        </w:tc>
        <w:tc>
          <w:tcPr>
            <w:tcW w:type="dxa" w:w="5322"/>
            <w:shd w:val="clear" w:fill="E9EDF1"/>
          </w:tcPr>
          <w:p>
            <w:pPr>
              <w:spacing w:after="20"/>
              <w:jc w:val="both"/>
              <w:bidi w:val="1"/>
            </w:pPr>
            <w:r>
              <w:rPr>
                <w:rtl w:val="1"/>
                <w:rFonts w:cs="Arial"/>
              </w:rPr>
            </w:r>
            <w:r>
              <w:rPr>
                <w:rFonts w:ascii="Arial" w:hAnsi="Arial"/>
                <w:color w:val="13283F"/>
                <w:sz w:val="17"/>
                <w:rtl w:val="1"/>
                <w:rFonts w:cs="Arial"/>
              </w:rPr>
              <w:t>استراتيجية العلامة، والرسائل، والهيكل، والتسمية، ونموذج القنوات.</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٣. الهوية والتجربة</w:t>
            </w:r>
          </w:p>
        </w:tc>
        <w:tc>
          <w:tcPr>
            <w:tcW w:type="dxa" w:w="1996"/>
            <w:shd w:val="clear" w:fill="F4F6F8"/>
          </w:tcPr>
          <w:p>
            <w:pPr>
              <w:spacing w:after="20"/>
              <w:jc w:val="both"/>
              <w:bidi w:val="1"/>
            </w:pPr>
            <w:r>
              <w:rPr>
                <w:rtl w:val="1"/>
                <w:rFonts w:cs="Arial"/>
              </w:rPr>
            </w:r>
            <w:r>
              <w:rPr>
                <w:rFonts w:ascii="Arial" w:hAnsi="Arial"/>
                <w:color w:val="13283F"/>
                <w:sz w:val="17"/>
                <w:rtl w:val="1"/>
                <w:rFonts w:cs="Arial"/>
              </w:rPr>
              <w:t>الأسابيع ٦–١٢</w:t>
            </w:r>
          </w:p>
        </w:tc>
        <w:tc>
          <w:tcPr>
            <w:tcW w:type="dxa" w:w="5322"/>
            <w:shd w:val="clear" w:fill="F4F6F8"/>
          </w:tcPr>
          <w:p>
            <w:pPr>
              <w:spacing w:after="20"/>
              <w:jc w:val="both"/>
              <w:bidi w:val="1"/>
            </w:pPr>
            <w:r>
              <w:rPr>
                <w:rtl w:val="1"/>
                <w:rFonts w:cs="Arial"/>
              </w:rPr>
            </w:r>
            <w:r>
              <w:rPr>
                <w:rFonts w:ascii="Arial" w:hAnsi="Arial"/>
                <w:color w:val="13283F"/>
                <w:sz w:val="17"/>
                <w:rtl w:val="1"/>
                <w:rFonts w:cs="Arial"/>
              </w:rPr>
              <w:t>النظام البصري، والدليل، والملفات التعريفية، وتجربة/واجهة الموقع، والقوالب.</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٤. البناء والجاهزية للإطلاق</w:t>
            </w:r>
          </w:p>
        </w:tc>
        <w:tc>
          <w:tcPr>
            <w:tcW w:type="dxa" w:w="1996"/>
            <w:shd w:val="clear" w:fill="E9EDF1"/>
          </w:tcPr>
          <w:p>
            <w:pPr>
              <w:spacing w:after="20"/>
              <w:jc w:val="both"/>
              <w:bidi w:val="1"/>
            </w:pPr>
            <w:r>
              <w:rPr>
                <w:rtl w:val="1"/>
                <w:rFonts w:cs="Arial"/>
              </w:rPr>
            </w:r>
            <w:r>
              <w:rPr>
                <w:rFonts w:ascii="Arial" w:hAnsi="Arial"/>
                <w:color w:val="13283F"/>
                <w:sz w:val="17"/>
                <w:rtl w:val="1"/>
                <w:rFonts w:cs="Arial"/>
              </w:rPr>
              <w:t>الأسابيع ٩–١٦</w:t>
            </w:r>
          </w:p>
        </w:tc>
        <w:tc>
          <w:tcPr>
            <w:tcW w:type="dxa" w:w="5322"/>
            <w:shd w:val="clear" w:fill="E9EDF1"/>
          </w:tcPr>
          <w:p>
            <w:pPr>
              <w:spacing w:after="20"/>
              <w:jc w:val="both"/>
              <w:bidi w:val="1"/>
            </w:pPr>
            <w:r>
              <w:rPr>
                <w:rtl w:val="1"/>
                <w:rFonts w:cs="Arial"/>
              </w:rPr>
            </w:r>
            <w:r>
              <w:rPr>
                <w:rFonts w:ascii="Arial" w:hAnsi="Arial"/>
                <w:color w:val="13283F"/>
                <w:sz w:val="17"/>
                <w:rtl w:val="1"/>
                <w:rFonts w:cs="Arial"/>
              </w:rPr>
              <w:t>بناء الموقع، وحملة الإطلاق، وبنك المحتوى، والمكتب الصحفي، والجاهزية للأزمات، والتدريب.</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٥. الإطلاق والتحسين</w:t>
            </w:r>
          </w:p>
        </w:tc>
        <w:tc>
          <w:tcPr>
            <w:tcW w:type="dxa" w:w="1996"/>
            <w:shd w:val="clear" w:fill="F4F6F8"/>
          </w:tcPr>
          <w:p>
            <w:pPr>
              <w:spacing w:after="20"/>
              <w:jc w:val="both"/>
              <w:bidi w:val="1"/>
            </w:pPr>
            <w:r>
              <w:rPr>
                <w:rtl w:val="1"/>
                <w:rFonts w:cs="Arial"/>
              </w:rPr>
            </w:r>
            <w:r>
              <w:rPr>
                <w:rFonts w:ascii="Arial" w:hAnsi="Arial"/>
                <w:color w:val="13283F"/>
                <w:sz w:val="17"/>
                <w:rtl w:val="1"/>
                <w:rFonts w:cs="Arial"/>
              </w:rPr>
              <w:t>من تاريخ الإطلاق المعتمد</w:t>
            </w:r>
          </w:p>
        </w:tc>
        <w:tc>
          <w:tcPr>
            <w:tcW w:type="dxa" w:w="5322"/>
            <w:shd w:val="clear" w:fill="F4F6F8"/>
          </w:tcPr>
          <w:p>
            <w:pPr>
              <w:spacing w:after="20"/>
              <w:jc w:val="both"/>
              <w:bidi w:val="1"/>
            </w:pPr>
            <w:r>
              <w:rPr>
                <w:rtl w:val="1"/>
                <w:rFonts w:cs="Arial"/>
              </w:rPr>
            </w:r>
            <w:r>
              <w:rPr>
                <w:rFonts w:ascii="Arial" w:hAnsi="Arial"/>
                <w:color w:val="13283F"/>
                <w:sz w:val="17"/>
                <w:rtl w:val="1"/>
                <w:rFonts w:cs="Arial"/>
              </w:rPr>
              <w:t>تنفيذ الإطلاق، والعلاقات الإعلامية، والتقارير، والتحسين الربع سنوي؛ وعمليات التواصل الاجتماعي فقط في حال ترسية الحزمة الثانية الاختيارية.</w:t>
            </w:r>
          </w:p>
        </w:tc>
      </w:tr>
    </w:tbl>
    <w:p>
      <w:pPr>
        <w:spacing w:after="80"/>
      </w:pPr>
    </w:p>
    <w:p>
      <w:pPr>
        <w:spacing w:before="0" w:after="100"/>
        <w:jc w:val="both"/>
        <w:bidi w:val="1"/>
      </w:pPr>
      <w:r>
        <w:rPr>
          <w:rFonts w:ascii="Arial" w:hAnsi="Arial"/>
          <w:b w:val="0"/>
          <w:i w:val="0"/>
          <w:color w:val="13283F"/>
          <w:sz w:val="18"/>
          <w:rtl w:val="1"/>
          <w:rFonts w:cs="Arial"/>
        </w:rPr>
        <w:t>على مقدمي العروض تحديد أي ضغط زمني أو مخاطر على المسار الحرج أو قرارات مطلوبة لدعم الإطلاق المزمع في نوفمبر ٢٠٢٦. ولا يجوز المساس بالجودة أو الاعتماد أو سلامة الحقائق من أجل الالتزام بتاريخ إرشادي.</w:t>
      </w:r>
    </w:p>
    <w:p>
      <w:pPr>
        <w:spacing w:before="360" w:after="120"/>
        <w:jc w:val="right"/>
        <w:bidi w:val="1"/>
      </w:pPr>
      <w:r>
        <w:rPr>
          <w:rFonts w:ascii="Arial" w:hAnsi="Arial"/>
          <w:b/>
          <w:i w:val="0"/>
          <w:color w:val="13283F"/>
          <w:sz w:val="34"/>
          <w:rtl w:val="1"/>
          <w:rFonts w:cs="Arial"/>
        </w:rPr>
        <w:t>١٧. الجدول الزمني للمناقصة</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المرحلة</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التفاصيل</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الطرح</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١١ سبتمبر ٢٠٢٦ عبر بوابة توريد.</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فترة الاستيضاح</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وفق ما هو مبيّن في بوابة توريد؛ ويجوز تعميم الأسئلة والأجوبة على جميع مقدمي العروض.</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مدة المناقصة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شهر واحد من تاريخ الطرح.</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الإغلاق</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١١ أكتوبر ٢٠٢٦ الساعة ١:٠٠ ظهرًا بتوقيت الإمارات.</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البوابة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https://tawreed.ajman.ae/ords/r/tawreed_fusion/isupplier-dof109109/tender-details#loaded</w:t>
            </w:r>
          </w:p>
        </w:tc>
      </w:tr>
    </w:tbl>
    <w:p>
      <w:pPr>
        <w:spacing w:after="80"/>
      </w:pPr>
    </w:p>
    <w:p>
      <w:pPr>
        <w:spacing w:before="360" w:after="120"/>
        <w:jc w:val="right"/>
        <w:bidi w:val="1"/>
      </w:pPr>
      <w:r>
        <w:rPr>
          <w:rFonts w:ascii="Arial" w:hAnsi="Arial"/>
          <w:b/>
          <w:i w:val="0"/>
          <w:color w:val="13283F"/>
          <w:sz w:val="34"/>
          <w:rtl w:val="1"/>
          <w:rFonts w:cs="Arial"/>
        </w:rPr>
        <w:t>١٨. التواصل</w:t>
      </w:r>
    </w:p>
    <w:p>
      <w:pPr>
        <w:spacing w:before="220" w:after="80"/>
        <w:jc w:val="right"/>
        <w:bidi w:val="1"/>
      </w:pPr>
      <w:r>
        <w:rPr>
          <w:rFonts w:ascii="Arial" w:hAnsi="Arial"/>
          <w:b/>
          <w:i w:val="0"/>
          <w:color w:val="13283F"/>
          <w:sz w:val="23"/>
          <w:rtl w:val="1"/>
          <w:rFonts w:cs="Arial"/>
        </w:rPr>
        <w:t>الاستفسارات المتعلقة بالنطاق والجوانب الفنية</w:t>
      </w:r>
    </w:p>
    <w:p>
      <w:pPr>
        <w:spacing w:before="0" w:after="100"/>
        <w:jc w:val="both"/>
        <w:bidi w:val="1"/>
      </w:pPr>
      <w:r>
        <w:rPr>
          <w:rFonts w:ascii="Arial" w:hAnsi="Arial"/>
          <w:b w:val="0"/>
          <w:i w:val="0"/>
          <w:color w:val="13283F"/>
          <w:sz w:val="18"/>
          <w:rtl w:val="1"/>
          <w:rFonts w:cs="Arial"/>
        </w:rPr>
        <w:t>إدارة الفعاليات والتسويق، ثرا / غرفة عجمان</w:t>
      </w:r>
    </w:p>
    <w:p>
      <w:pPr>
        <w:spacing w:before="0" w:after="100"/>
        <w:jc w:val="both"/>
        <w:bidi w:val="1"/>
      </w:pPr>
      <w:r>
        <w:rPr>
          <w:rFonts w:ascii="Arial" w:hAnsi="Arial"/>
          <w:b w:val="0"/>
          <w:i w:val="0"/>
          <w:color w:val="13283F"/>
          <w:sz w:val="18"/>
          <w:rtl w:val="1"/>
          <w:rFonts w:cs="Arial"/>
        </w:rPr>
        <w:t>البريد الإلكتروني: Alyaa.alhumrani@ajmanchamber.ae</w:t>
      </w:r>
    </w:p>
    <w:p>
      <w:pPr>
        <w:spacing w:before="220" w:after="80"/>
        <w:jc w:val="right"/>
        <w:bidi w:val="1"/>
      </w:pPr>
      <w:r>
        <w:rPr>
          <w:rFonts w:ascii="Arial" w:hAnsi="Arial"/>
          <w:b/>
          <w:i w:val="0"/>
          <w:color w:val="13283F"/>
          <w:sz w:val="23"/>
          <w:rtl w:val="1"/>
          <w:rFonts w:cs="Arial"/>
        </w:rPr>
        <w:t>الدعم في التسجيل بتوريد ورفع العروض</w:t>
      </w:r>
    </w:p>
    <w:p>
      <w:pPr>
        <w:spacing w:before="0" w:after="100"/>
        <w:jc w:val="both"/>
        <w:bidi w:val="1"/>
      </w:pPr>
      <w:r>
        <w:rPr>
          <w:rFonts w:ascii="Arial" w:hAnsi="Arial"/>
          <w:b w:val="0"/>
          <w:i w:val="0"/>
          <w:color w:val="13283F"/>
          <w:sz w:val="18"/>
          <w:rtl w:val="1"/>
          <w:rFonts w:cs="Arial"/>
        </w:rPr>
        <w:t>قسم العقود والمشتريات — الإدارة المالية، غرفة عجمان</w:t>
      </w:r>
    </w:p>
    <w:p>
      <w:pPr>
        <w:spacing w:before="0" w:after="100"/>
        <w:jc w:val="both"/>
        <w:bidi w:val="1"/>
      </w:pPr>
      <w:r>
        <w:rPr>
          <w:rFonts w:ascii="Arial" w:hAnsi="Arial"/>
          <w:b w:val="0"/>
          <w:i w:val="0"/>
          <w:color w:val="13283F"/>
          <w:sz w:val="18"/>
          <w:rtl w:val="1"/>
          <w:rFonts w:cs="Arial"/>
        </w:rPr>
        <w:t>البريد الإلكتروني: manea_almandoos@ajmanchamber.ae</w:t>
      </w:r>
    </w:p>
    <w:p>
      <w:pPr>
        <w:spacing w:before="0" w:after="100"/>
        <w:jc w:val="both"/>
        <w:bidi w:val="1"/>
      </w:pPr>
      <w:r>
        <w:rPr>
          <w:rFonts w:ascii="Arial" w:hAnsi="Arial"/>
          <w:b w:val="0"/>
          <w:i/>
          <w:color w:val="596773"/>
          <w:sz w:val="16"/>
          <w:rtl w:val="1"/>
          <w:rFonts w:cs="Arial"/>
        </w:rPr>
        <w:t>تخضع جميع الاستيضاحات الرسمية لإجراءات المشتريات. ويجوز تعميم الردود على جميع مقدمي العروض لضمان تكافؤ المعلومات.</w:t>
      </w:r>
    </w:p>
    <w:p>
      <w:pPr>
        <w:spacing w:before="360" w:after="120"/>
        <w:jc w:val="right"/>
        <w:bidi w:val="1"/>
      </w:pPr>
      <w:r>
        <w:rPr>
          <w:rFonts w:ascii="Arial" w:hAnsi="Arial"/>
          <w:b/>
          <w:i w:val="0"/>
          <w:color w:val="13283F"/>
          <w:sz w:val="34"/>
          <w:rtl w:val="1"/>
          <w:rFonts w:cs="Arial"/>
        </w:rPr>
        <w:t>الملحق (أ) — المتطلبات التفصيلية للعلامة والهوية</w:t>
      </w:r>
    </w:p>
    <w:p>
      <w:pPr>
        <w:spacing w:before="220" w:after="80"/>
        <w:jc w:val="right"/>
        <w:bidi w:val="1"/>
      </w:pPr>
      <w:r>
        <w:rPr>
          <w:rFonts w:ascii="Arial" w:hAnsi="Arial"/>
          <w:b/>
          <w:i w:val="0"/>
          <w:color w:val="13283F"/>
          <w:sz w:val="23"/>
          <w:rtl w:val="1"/>
          <w:rFonts w:cs="Arial"/>
        </w:rPr>
        <w:t>أ١ — استكشاف العلامة وقاعدة الأدلة</w:t>
      </w:r>
    </w:p>
    <w:p>
      <w:pPr>
        <w:spacing w:before="0" w:after="100"/>
        <w:jc w:val="both"/>
        <w:bidi w:val="1"/>
      </w:pPr>
      <w:r>
        <w:rPr>
          <w:rFonts w:ascii="Arial" w:hAnsi="Arial"/>
          <w:b w:val="0"/>
          <w:i w:val="0"/>
          <w:color w:val="13283F"/>
          <w:sz w:val="18"/>
          <w:rtl w:val="1"/>
          <w:rFonts w:cs="Arial"/>
        </w:rPr>
        <w:t>تم تعريف أسس ثرا وهيكلها ذي الكيانات الستة وجماهيرها وتوجهها الاستراتيجي في نطاق العمل هذا. وعلى الوكالة استيعابها وتطبيقها بدلًا من إعادة طرح سؤال ماهية ثرا. وستتولى المرحلة الأولى التحقق من الافتراضات وسد فجوات الأدلة وترجمة التوجه المعتمد إلى منصة علامة متكاملة. وعلى الوكالة تخطيط وإجراء وتوثيق مقابلات مركّزة مع أصحاب المصلحة وتحليل الجمهور ومراجعة الفئة ومراجعة الاستراتيجية والمواد المؤسسية والقانونية والتشغيلية المعتمدة التي توفرها ثرا.</w:t>
      </w:r>
    </w:p>
    <w:tbl>
      <w:tblPr>
        <w:tblStyle w:val="TableGrid"/>
        <w:tblW w:type="auto" w:w="0"/>
        <w:jc w:val="center"/>
        <w:tblLayout w:type="fixed"/>
        <w:tblLook w:firstColumn="1" w:firstRow="1" w:lastColumn="0" w:lastRow="0" w:noHBand="0" w:noVBand="1" w:val="04A0"/>
        <w:bidiVisual/>
      </w:tblPr>
      <w:tblGrid>
        <w:gridCol w:w="2439"/>
        <w:gridCol w:w="4213"/>
        <w:gridCol w:w="3326"/>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النشاط المطلوب</w:t>
            </w:r>
          </w:p>
        </w:tc>
        <w:tc>
          <w:tcPr>
            <w:tcW w:type="dxa" w:w="4213"/>
            <w:shd w:val="clear" w:fill="13283F"/>
          </w:tcPr>
          <w:p>
            <w:pPr>
              <w:spacing w:after="20"/>
              <w:jc w:val="both"/>
              <w:bidi w:val="1"/>
            </w:pPr>
            <w:r>
              <w:rPr>
                <w:rtl w:val="1"/>
                <w:rFonts w:cs="Arial"/>
              </w:rPr>
            </w:r>
            <w:r>
              <w:rPr>
                <w:rFonts w:ascii="Arial" w:hAnsi="Arial"/>
                <w:b/>
                <w:color w:val="FFFFFF"/>
                <w:sz w:val="17"/>
                <w:rtl w:val="1"/>
                <w:rFonts w:cs="Arial"/>
              </w:rPr>
              <w:t>المتطلب التفصيلي</w:t>
            </w:r>
          </w:p>
        </w:tc>
        <w:tc>
          <w:tcPr>
            <w:tcW w:type="dxa" w:w="3326"/>
            <w:shd w:val="clear" w:fill="13283F"/>
          </w:tcPr>
          <w:p>
            <w:pPr>
              <w:spacing w:after="20"/>
              <w:jc w:val="both"/>
              <w:bidi w:val="1"/>
            </w:pPr>
            <w:r>
              <w:rPr>
                <w:rtl w:val="1"/>
                <w:rFonts w:cs="Arial"/>
              </w:rPr>
            </w:r>
            <w:r>
              <w:rPr>
                <w:rFonts w:ascii="Arial" w:hAnsi="Arial"/>
                <w:b/>
                <w:color w:val="FFFFFF"/>
                <w:sz w:val="17"/>
                <w:rtl w:val="1"/>
                <w:rFonts w:cs="Arial"/>
              </w:rPr>
              <w:t>دليل القبول</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مقابلات القيادة</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مقابلة رئيس مجلس الإدارة والرئيس التنفيذي للمجموعة وممثلي المجلس أو اللجان المعنيين وراعي غرفة عجمان ورؤساء الكيانات وأصحاب المصلحة التشغيليين المرشحين. وتأكيد صلاحيات القرار والطموحات والمخاطر ونقاط الإثبات والحساسيات اللغوية.</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خطة المقابلات، وأدلة النقاش، والنتائج مجهولة المصدر، وسجل القرارات، وتقرير استكشاف موقّع.</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بحوث الجمهور</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تحديد الاحتياجات والعوائق والمحفزات ورحلات اتخاذ القرار للمؤسسين والمنشآت الصغيرة والمتوسطة والمستثمرين والشركات والجهات الحكومية والجامعات والمواهب والجماهير المجتمعية.</w:t>
            </w:r>
          </w:p>
        </w:tc>
        <w:tc>
          <w:tcPr>
            <w:tcW w:type="dxa" w:w="3326"/>
            <w:shd w:val="clear" w:fill="E9EDF1"/>
          </w:tcPr>
          <w:p>
            <w:pPr>
              <w:spacing w:after="20"/>
              <w:jc w:val="both"/>
              <w:bidi w:val="1"/>
            </w:pPr>
            <w:r>
              <w:rPr>
                <w:rtl w:val="1"/>
                <w:rFonts w:cs="Arial"/>
              </w:rPr>
            </w:r>
            <w:r>
              <w:rPr>
                <w:rFonts w:ascii="Arial" w:hAnsi="Arial"/>
                <w:color w:val="13283F"/>
                <w:sz w:val="17"/>
                <w:rtl w:val="1"/>
                <w:rFonts w:cs="Arial"/>
              </w:rPr>
              <w:t>ملفات الجماهير، ومنطق ترتيب الأولويات، وخرائط الرحلات، وانعكاساتها على تصميم الرسالة والقناة.</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تقييم الفئة</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مراجعة المراكز والمسرّعات ومنصات المشاريع والصناديق ومزودي الخدمات المشتركة وعلامات التنمية الاقتصادية ذات الصلة في الدولة والخليج ودوليًا.</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مصفوفة مقارنة توضح التموضع والهيكل والادعاءات والأنماط البصرية والمساحات الشاغرة ومخاطر التقليد.</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تدقيق الوضع الراهن</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تدقيق استخدام الاسم الحالي والعلامات والعروض التقديمية والوثائق والمواقع وحسابات التواصل ومواد الفعاليات وأوصاف أصحاب المصلحة.</w:t>
            </w:r>
          </w:p>
        </w:tc>
        <w:tc>
          <w:tcPr>
            <w:tcW w:type="dxa" w:w="3326"/>
            <w:shd w:val="clear" w:fill="E9EDF1"/>
          </w:tcPr>
          <w:p>
            <w:pPr>
              <w:spacing w:after="20"/>
              <w:jc w:val="both"/>
              <w:bidi w:val="1"/>
            </w:pPr>
            <w:r>
              <w:rPr>
                <w:rtl w:val="1"/>
                <w:rFonts w:cs="Arial"/>
              </w:rPr>
            </w:r>
            <w:r>
              <w:rPr>
                <w:rFonts w:ascii="Arial" w:hAnsi="Arial"/>
                <w:color w:val="13283F"/>
                <w:sz w:val="17"/>
                <w:rtl w:val="1"/>
                <w:rFonts w:cs="Arial"/>
              </w:rPr>
              <w:t>جرد الأصول، وتقييم الاتساق، وقائمة المعالجة، وأولويات الترحيل.</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سجل الأدلة</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الفصل بين الحقائق المعتمدة والأهداف التشغيلية والفرص قيد الإنجاز والمفاهيم قيد التطوير والادعاءات التي لا يجوز الإفصاح عنها بعد.</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سجل ادعاءات منضبط يتضمن مالك المصدر وحالة الاعتماد والصياغة المسموحة وتاريخ الانتهاء/المراجعة ومرجع المستند الداعم.</w:t>
            </w:r>
          </w:p>
        </w:tc>
      </w:tr>
    </w:tbl>
    <w:p>
      <w:pPr>
        <w:spacing w:after="80"/>
      </w:pPr>
    </w:p>
    <w:p>
      <w:pPr>
        <w:spacing w:before="220" w:after="80"/>
        <w:jc w:val="right"/>
        <w:bidi w:val="1"/>
      </w:pPr>
      <w:r>
        <w:rPr>
          <w:rFonts w:ascii="Arial" w:hAnsi="Arial"/>
          <w:b/>
          <w:i w:val="0"/>
          <w:color w:val="13283F"/>
          <w:sz w:val="23"/>
          <w:rtl w:val="1"/>
          <w:rFonts w:cs="Arial"/>
        </w:rPr>
        <w:t>أ٢ — منصة العلامة</w:t>
      </w:r>
    </w:p>
    <w:p>
      <w:pPr>
        <w:pStyle w:val="ListBullet"/>
        <w:spacing w:before="0" w:after="40"/>
        <w:jc w:val="both"/>
        <w:bidi w:val="1"/>
      </w:pPr>
      <w:r>
        <w:rPr>
          <w:rFonts w:ascii="Arial" w:hAnsi="Arial"/>
          <w:b w:val="0"/>
          <w:i w:val="0"/>
          <w:color w:val="13283F"/>
          <w:sz w:val="18"/>
          <w:rtl w:val="1"/>
          <w:rFonts w:cs="Arial"/>
        </w:rPr>
        <w:t>الغرض: السبب العملي لوجود ثرا والمشكلة الاقتصادية أو الريادية التي تحلها.</w:t>
      </w:r>
    </w:p>
    <w:p>
      <w:pPr>
        <w:pStyle w:val="ListBullet"/>
        <w:spacing w:before="0" w:after="40"/>
        <w:jc w:val="both"/>
        <w:bidi w:val="1"/>
      </w:pPr>
      <w:r>
        <w:rPr>
          <w:rFonts w:ascii="Arial" w:hAnsi="Arial"/>
          <w:b w:val="0"/>
          <w:i w:val="0"/>
          <w:color w:val="13283F"/>
          <w:sz w:val="18"/>
          <w:rtl w:val="1"/>
          <w:rFonts w:cs="Arial"/>
        </w:rPr>
        <w:t>الرؤية والرسالة: تُصقل دون تغيير النية الاستراتيجية المعتمدة لثرا.</w:t>
      </w:r>
    </w:p>
    <w:p>
      <w:pPr>
        <w:pStyle w:val="ListBullet"/>
        <w:spacing w:before="0" w:after="40"/>
        <w:jc w:val="both"/>
        <w:bidi w:val="1"/>
      </w:pPr>
      <w:r>
        <w:rPr>
          <w:rFonts w:ascii="Arial" w:hAnsi="Arial"/>
          <w:b w:val="0"/>
          <w:i w:val="0"/>
          <w:color w:val="13283F"/>
          <w:sz w:val="18"/>
          <w:rtl w:val="1"/>
          <w:rFonts w:cs="Arial"/>
        </w:rPr>
        <w:t>التموضع: بيان تموضع رئيسي واحد، ونسخ مخصصة لكل جمهور، وإطار مرجعي قابل للدفاع عنه.</w:t>
      </w:r>
    </w:p>
    <w:p>
      <w:pPr>
        <w:pStyle w:val="ListBullet"/>
        <w:spacing w:before="0" w:after="40"/>
        <w:jc w:val="both"/>
        <w:bidi w:val="1"/>
      </w:pPr>
      <w:r>
        <w:rPr>
          <w:rFonts w:ascii="Arial" w:hAnsi="Arial"/>
          <w:b w:val="0"/>
          <w:i w:val="0"/>
          <w:color w:val="13283F"/>
          <w:sz w:val="18"/>
          <w:rtl w:val="1"/>
          <w:rFonts w:cs="Arial"/>
        </w:rPr>
        <w:t>عروض القيمة: عروض متمايزة للمؤسسين والمستثمرين وأعضاء الغرفة والشركات والجهات الحكومية والجامعات والمواهب والمجتمعات.</w:t>
      </w:r>
    </w:p>
    <w:p>
      <w:pPr>
        <w:pStyle w:val="ListBullet"/>
        <w:spacing w:before="0" w:after="40"/>
        <w:jc w:val="both"/>
        <w:bidi w:val="1"/>
      </w:pPr>
      <w:r>
        <w:rPr>
          <w:rFonts w:ascii="Arial" w:hAnsi="Arial"/>
          <w:b w:val="0"/>
          <w:i w:val="0"/>
          <w:color w:val="13283F"/>
          <w:sz w:val="18"/>
          <w:rtl w:val="1"/>
          <w:rFonts w:cs="Arial"/>
        </w:rPr>
        <w:t>وعد العلامة وإثباته: ما تلتزم ثرا بتقديمه والأدلة اللازمة لإثبات كل وعد.</w:t>
      </w:r>
    </w:p>
    <w:p>
      <w:pPr>
        <w:pStyle w:val="ListBullet"/>
        <w:spacing w:before="0" w:after="40"/>
        <w:jc w:val="both"/>
        <w:bidi w:val="1"/>
      </w:pPr>
      <w:r>
        <w:rPr>
          <w:rFonts w:ascii="Arial" w:hAnsi="Arial"/>
          <w:b w:val="0"/>
          <w:i w:val="0"/>
          <w:color w:val="13283F"/>
          <w:sz w:val="18"/>
          <w:rtl w:val="1"/>
          <w:rFonts w:cs="Arial"/>
        </w:rPr>
        <w:t>الشخصية والسلوكيات: ليست مجرد صفات؛ بل تحديد كيف تتصرف العلامة في الاجتماعات والمنتجات الرقمية والطلبات والبرامج والإعلام والمواقف الصعبة.</w:t>
      </w:r>
    </w:p>
    <w:p>
      <w:pPr>
        <w:pStyle w:val="ListBullet"/>
        <w:spacing w:before="0" w:after="40"/>
        <w:jc w:val="both"/>
        <w:bidi w:val="1"/>
      </w:pPr>
      <w:r>
        <w:rPr>
          <w:rFonts w:ascii="Arial" w:hAnsi="Arial"/>
          <w:b w:val="0"/>
          <w:i w:val="0"/>
          <w:color w:val="13283F"/>
          <w:sz w:val="18"/>
          <w:rtl w:val="1"/>
          <w:rFonts w:cs="Arial"/>
        </w:rPr>
        <w:t>السرد: شرح موجز، وشرح في ٦٠ ثانية، وقصة مؤسسية كاملة، ونصوص تعريفية معتمدة بنحو ٥٠ و١٠٠ و٢٠٠ كلمة بالعربية والإنجليزية.</w:t>
      </w:r>
    </w:p>
    <w:p>
      <w:pPr>
        <w:pStyle w:val="ListBullet"/>
        <w:spacing w:before="0" w:after="40"/>
        <w:jc w:val="both"/>
        <w:bidi w:val="1"/>
      </w:pPr>
      <w:r>
        <w:rPr>
          <w:rFonts w:ascii="Arial" w:hAnsi="Arial"/>
          <w:b w:val="0"/>
          <w:i w:val="0"/>
          <w:color w:val="13283F"/>
          <w:sz w:val="18"/>
          <w:rtl w:val="1"/>
          <w:rFonts w:cs="Arial"/>
        </w:rPr>
        <w:t>تسلسل الرسائل: رسالة على مستوى المجموعة، ورسائل الكيانات، ورسائل البرامج، ورسائل الجماهير، ودعوات الإجراء، والادعاءات المحظورة أو المشروطة.</w:t>
      </w:r>
    </w:p>
    <w:p>
      <w:pPr>
        <w:pStyle w:val="ListBullet"/>
        <w:spacing w:before="0" w:after="40"/>
        <w:jc w:val="both"/>
        <w:bidi w:val="1"/>
      </w:pPr>
      <w:r>
        <w:rPr>
          <w:rFonts w:ascii="Arial" w:hAnsi="Arial"/>
          <w:b w:val="0"/>
          <w:i w:val="0"/>
          <w:color w:val="13283F"/>
          <w:sz w:val="18"/>
          <w:rtl w:val="1"/>
          <w:rFonts w:cs="Arial"/>
        </w:rPr>
        <w:t>مبادئ العلامة: قواعد الموازنة بين المصداقية المؤسسية والصلة التجارية وطاقة ريادة الأعمال والشمول والحساسية الشرعية والأثر القابل للقياس.</w:t>
      </w:r>
    </w:p>
    <w:p>
      <w:pPr>
        <w:spacing w:before="220" w:after="80"/>
        <w:jc w:val="right"/>
        <w:bidi w:val="1"/>
      </w:pPr>
      <w:r>
        <w:rPr>
          <w:rFonts w:ascii="Arial" w:hAnsi="Arial"/>
          <w:b/>
          <w:i w:val="0"/>
          <w:color w:val="13283F"/>
          <w:sz w:val="23"/>
          <w:rtl w:val="1"/>
          <w:rFonts w:cs="Arial"/>
        </w:rPr>
        <w:t>أ٣ — قواعد التسمية والهيكل</w:t>
      </w:r>
    </w:p>
    <w:p>
      <w:pPr>
        <w:spacing w:before="0" w:after="100"/>
        <w:jc w:val="both"/>
        <w:bidi w:val="1"/>
      </w:pPr>
      <w:r>
        <w:rPr>
          <w:rFonts w:ascii="Arial" w:hAnsi="Arial"/>
          <w:b w:val="0"/>
          <w:i w:val="0"/>
          <w:color w:val="13283F"/>
          <w:sz w:val="18"/>
          <w:rtl w:val="1"/>
          <w:rFonts w:cs="Arial"/>
        </w:rPr>
        <w:t>على الوكالة تقديم نظام قادر على استيعاب شركات وبرامج ودفعات وأدوات استثمارية ومساحات ومبادرات وشراكات جديدة دون إضعاف العلامة الأم. وعليه تحديد متى تكون ثرا هي المتحدثة ومتى تتصدر إحدى الشركات التشغيلية.</w:t>
      </w:r>
    </w:p>
    <w:tbl>
      <w:tblPr>
        <w:tblStyle w:val="TableGrid"/>
        <w:tblW w:type="auto" w:w="0"/>
        <w:jc w:val="center"/>
        <w:tblLayout w:type="fixed"/>
        <w:tblLook w:firstColumn="1" w:firstRow="1" w:lastColumn="0" w:lastRow="0" w:noHBand="0" w:noVBand="1" w:val="04A0"/>
        <w:bidiVisual/>
      </w:tblPr>
      <w:tblGrid>
        <w:gridCol w:w="2882"/>
        <w:gridCol w:w="7096"/>
      </w:tblGrid>
      <w:tr>
        <w:tc>
          <w:tcPr>
            <w:tcW w:type="dxa" w:w="2883"/>
            <w:shd w:val="clear" w:fill="13283F"/>
          </w:tcPr>
          <w:p>
            <w:pPr>
              <w:spacing w:after="20"/>
              <w:jc w:val="both"/>
              <w:bidi w:val="1"/>
            </w:pPr>
            <w:r>
              <w:rPr>
                <w:rtl w:val="1"/>
                <w:rFonts w:cs="Arial"/>
              </w:rPr>
            </w:r>
            <w:r>
              <w:rPr>
                <w:rFonts w:ascii="Arial" w:hAnsi="Arial"/>
                <w:b/>
                <w:color w:val="FFFFFF"/>
                <w:sz w:val="17"/>
                <w:rtl w:val="1"/>
                <w:rFonts w:cs="Arial"/>
              </w:rPr>
              <w:t>سؤال الهيكل</w:t>
            </w:r>
          </w:p>
        </w:tc>
        <w:tc>
          <w:tcPr>
            <w:tcW w:type="dxa" w:w="7095"/>
            <w:shd w:val="clear" w:fill="13283F"/>
          </w:tcPr>
          <w:p>
            <w:pPr>
              <w:spacing w:after="20"/>
              <w:jc w:val="both"/>
              <w:bidi w:val="1"/>
            </w:pPr>
            <w:r>
              <w:rPr>
                <w:rtl w:val="1"/>
                <w:rFonts w:cs="Arial"/>
              </w:rPr>
            </w:r>
            <w:r>
              <w:rPr>
                <w:rFonts w:ascii="Arial" w:hAnsi="Arial"/>
                <w:b/>
                <w:color w:val="FFFFFF"/>
                <w:sz w:val="17"/>
                <w:rtl w:val="1"/>
                <w:rFonts w:cs="Arial"/>
              </w:rPr>
              <w:t>القرار المطلوب</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العلامة الأم</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تحديد سلطة ثرا وهيمنتها البصرية ودورها اللفظي في كل تطبيق.</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الشركات التشغيلية</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تحديد الأسماء الرسمية بالعربية والإنجليزية والأوصاف والتراكيب وتسلسل الاعتماد والمراجع المختصرة.</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البرامج والدفعات</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تحديد أعراف التسمية والترقيم، بما يشمل السنة والدفعة والموضوع والنطاق الجغرافي ومعالجة الراعي.</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الاستثمارات والأدوات</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تحديد نهج منضبط يميّز بين ثرا كابيتال وأي أداة مرخّصة أو برنامج استثماري أو شراكة أو صندوق مستقبلي.</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الشراكات</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تحديد ترتيب الشعارات ولغة الاعتماد وقواعد الإعلان والحد الأدنى من الأدلة التعاقدية.</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الكيانات المستقبلية</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توفير شجرة قرار تسمية قابلة للتكرار وإجراء اعتماد.</w:t>
            </w:r>
          </w:p>
        </w:tc>
      </w:tr>
    </w:tbl>
    <w:p>
      <w:pPr>
        <w:spacing w:after="80"/>
      </w:pPr>
    </w:p>
    <w:p>
      <w:pPr>
        <w:spacing w:before="220" w:after="80"/>
        <w:jc w:val="right"/>
        <w:bidi w:val="1"/>
      </w:pPr>
      <w:r>
        <w:rPr>
          <w:rFonts w:ascii="Arial" w:hAnsi="Arial"/>
          <w:b/>
          <w:i w:val="0"/>
          <w:color w:val="13283F"/>
          <w:sz w:val="23"/>
          <w:rtl w:val="1"/>
          <w:rFonts w:cs="Arial"/>
        </w:rPr>
        <w:t>أ٤ — نظام الهوية البصرية</w:t>
      </w:r>
    </w:p>
    <w:p>
      <w:pPr>
        <w:spacing w:before="0" w:after="100"/>
        <w:jc w:val="both"/>
        <w:bidi w:val="1"/>
      </w:pPr>
      <w:r>
        <w:rPr>
          <w:rFonts w:ascii="Arial" w:hAnsi="Arial"/>
          <w:b w:val="0"/>
          <w:i w:val="0"/>
          <w:color w:val="13283F"/>
          <w:sz w:val="18"/>
          <w:rtl w:val="1"/>
          <w:rFonts w:cs="Arial"/>
        </w:rPr>
        <w:t>يجب أن تعمل الهوية كنظام مؤسسي وكمنظومة موجّهة للمؤسسين وكعلامة خدمة تجارية وكعائلة منتجات رقمية. وأن تظل فعالة بالعربية والإنجليزية، وبالألوان والأحادي، وفي البيئات المادية والرقمية، وعلى اللافتات كبيرة الحجم والواجهات الصغيرة على الجوال.</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المكوّن</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الحد الأدنى من المواصفات</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عائلة الشعار</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نسخ أساسية وثانوية ومدمجة وأفقية ورأسية وعربية وإنجليزية وثنائية اللغة وأحادية ومعكوسة؛ وقواعد المساحة الآمنة والحد الأدنى للحجم وسوء الاستخدام.</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هويات الكيانات</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تعبير بصري منضبط لجميع الشركات التشغيلية الخمس، بتمايز كافٍ للتنقّل دون علامات أم متنافسة.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الألوان</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لوحات أساسية وثانوية ووظيفية وخاصة بإتاحة الوصول؛ بصيغ CMYK وRGB وHEX وبانتون حيثما ينطبق؛ وقواعد التباين وتفاوتات الإنتاج.</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الخطوط</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خطوط مؤسسية عربية ولاتينية، وخطوط بديلة، والتراخيص، والتضمين الرقمي، والتسلسل، وقواعد التركيب ثنائي اللغة.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الصور</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مبادئ التصوير للأشخاص والمساحات والمؤسسين وعجمان والاستثمار والأثر؛ والموافقة والأصالة والتمثيل وأنماط الصور الجاهزة المحظورة.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اللغة الرسومية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الشبكة والأشكال والأنماط وقواعد تصوّر البيانات والرسوم والأيقونات والخرائط والإنفوجرافيك والمخططات.</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الحركة والصوت</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حركة الشعار ومبادئ الانتقال وبطاقات العناوين والأسطر السفلية والترجمة المرئية وبطاقات النهاية والاستخدام الصوتي إن اقتُرح واعتبارات إتاحة الوصول.</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إتاحة الوصول</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تباين موجّه بمعايير WCAG، وأحجام مقروءة، ونهج النص البديل، والترجمة المرئية، والتعليقات، والمعنى المستقل عن اللون، والتمثيل الشامل.</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ملفات الإنتاج</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صيغ AI وEPS وSVG وPDF وPNG وJPG وقوالب قابلة للتحرير؛ مع تسمية نظيفة وضبط للإصدارات ومجلدات منظمة.</w:t>
            </w:r>
          </w:p>
        </w:tc>
      </w:tr>
    </w:tbl>
    <w:p>
      <w:pPr>
        <w:spacing w:after="80"/>
      </w:pPr>
    </w:p>
    <w:p>
      <w:pPr>
        <w:spacing w:before="220" w:after="80"/>
        <w:jc w:val="right"/>
        <w:bidi w:val="1"/>
      </w:pPr>
      <w:r>
        <w:rPr>
          <w:rFonts w:ascii="Arial" w:hAnsi="Arial"/>
          <w:b/>
          <w:i w:val="0"/>
          <w:color w:val="13283F"/>
          <w:sz w:val="23"/>
          <w:rtl w:val="1"/>
          <w:rFonts w:cs="Arial"/>
        </w:rPr>
        <w:t>أ٥ — جرد تطبيقات العلامة</w:t>
      </w:r>
    </w:p>
    <w:tbl>
      <w:tblPr>
        <w:tblStyle w:val="TableGrid"/>
        <w:tblW w:type="auto" w:w="0"/>
        <w:jc w:val="center"/>
        <w:tblLayout w:type="fixed"/>
        <w:tblLook w:firstColumn="1" w:firstRow="1" w:lastColumn="0" w:lastRow="0" w:noHBand="0" w:noVBand="1" w:val="04A0"/>
        <w:bidiVisual/>
      </w:tblPr>
      <w:tblGrid>
        <w:gridCol w:w="2439"/>
        <w:gridCol w:w="7539"/>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الفئة</w:t>
            </w:r>
          </w:p>
        </w:tc>
        <w:tc>
          <w:tcPr>
            <w:tcW w:type="dxa" w:w="7539"/>
            <w:shd w:val="clear" w:fill="13283F"/>
          </w:tcPr>
          <w:p>
            <w:pPr>
              <w:spacing w:after="20"/>
              <w:jc w:val="both"/>
              <w:bidi w:val="1"/>
            </w:pPr>
            <w:r>
              <w:rPr>
                <w:rtl w:val="1"/>
                <w:rFonts w:cs="Arial"/>
              </w:rPr>
            </w:r>
            <w:r>
              <w:rPr>
                <w:rFonts w:ascii="Arial" w:hAnsi="Arial"/>
                <w:b/>
                <w:color w:val="FFFFFF"/>
                <w:sz w:val="17"/>
                <w:rtl w:val="1"/>
                <w:rFonts w:cs="Arial"/>
              </w:rPr>
              <w:t>التطبيقات المطلوب تصميمها وتحديد مواصفاتها</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المؤسسية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الورق الرسمي، وورق المتابعة، والأظرف، وبطاقات العمل، وتواقيع البريد، والأختام، والمذكرات، وأوراق المجلس، والسياسات، والشهادات، وأغلفة التقارير.</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العروض التقديمية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قالب رئيسي للمجموعة، ونسخ للكيانات، وعرض للمستثمرين/الشركاء، وعرض للبرامج، وعرض مقترح، وعرض للمتحدث، ومخططات البيانات، وتخطيطات دراسات الحالة.</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الرقمية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مكونات الموقع، وصور وأغلفة التواصل الاجتماعي، وقوالب المنشورات/الريلز/الستوريز، والنشرات، وحملات البريد، والإعلانات الرقمية، وخلفيات الاجتماعات الافتراضية.</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البرامج</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حزمة الطلب، وهوية الدفعة، ورسائل القبول والرفض، ومواد الموجّهين، ودليل المؤسس، ويوم العرض، والشهادات، وتسمية الخريجين.</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الاستثمار</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ملخص الفرصة، والمذكرة الاستثمارية، وملف شركة المحفظة، ومعالجة إخلاء المسؤولية، وقالب التقارير، وتطبيقات فعاليات المستثمرين، رهنًا بالاعتماد التنظيمي.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البيئة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اللافتات الخارجية، والاستقبال، والدليل، وإرشادات التوجيه، وأسماء الغرف، والرسوم الجدارية، وأفلام الخصوصية، والشاشات، ومساحات الفعاليات، ولافتات إتاحة الوصول، واللافتات المؤقتة.</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الفعاليات</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المسرح، والمنصة، وخلفية التصوير، والتسجيل، والبطاقة، والحمالة، والدعوة، وجدول الأعمال، وحقيبة المشارك، والمعرض، والجدار الإعلامي، ونظام العرض الرقمي.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الأفراد والثقافة</w:t>
            </w:r>
          </w:p>
        </w:tc>
        <w:tc>
          <w:tcPr>
            <w:tcW w:type="dxa" w:w="7539"/>
            <w:shd w:val="clear" w:fill="E9EDF1"/>
          </w:tcPr>
          <w:p>
            <w:pPr>
              <w:spacing w:after="20"/>
              <w:jc w:val="both"/>
              <w:bidi w:val="1"/>
            </w:pPr>
            <w:r>
              <w:rPr>
                <w:rtl w:val="1"/>
                <w:rFonts w:cs="Arial"/>
              </w:rPr>
            </w:r>
            <w:r>
              <w:rPr>
                <w:rFonts w:ascii="Arial" w:hAnsi="Arial"/>
                <w:color w:val="13283F"/>
                <w:sz w:val="17"/>
                <w:rtl w:val="1"/>
                <w:rFonts w:cs="Arial"/>
              </w:rPr>
              <w:t>بطاقة الهوية، وبطاقة الدخول، والزي الموحد عند الحاجة، وحزمة الالتحاق، والشواغر، والإعلانات الداخلية، والتقدير، وقوالب العلامة كصاحب عمل.</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الهدايا الترويجية</w:t>
            </w:r>
          </w:p>
        </w:tc>
        <w:tc>
          <w:tcPr>
            <w:tcW w:type="dxa" w:w="7539"/>
            <w:shd w:val="clear" w:fill="F4F6F8"/>
          </w:tcPr>
          <w:p>
            <w:pPr>
              <w:spacing w:after="20"/>
              <w:jc w:val="both"/>
              <w:bidi w:val="1"/>
            </w:pPr>
            <w:r>
              <w:rPr>
                <w:rtl w:val="1"/>
                <w:rFonts w:cs="Arial"/>
              </w:rPr>
            </w:r>
            <w:r>
              <w:rPr>
                <w:rFonts w:ascii="Arial" w:hAnsi="Arial"/>
                <w:color w:val="13283F"/>
                <w:sz w:val="17"/>
                <w:rtl w:val="1"/>
                <w:rFonts w:cs="Arial"/>
              </w:rPr>
              <w:t>معايير الجودة والتصاميم للهدايا المعتمدة؛ مع تجنّب الفوضى الترويجية منخفضة القيمة غير المتسقة مع التموضع.</w:t>
            </w:r>
          </w:p>
        </w:tc>
      </w:tr>
    </w:tbl>
    <w:p>
      <w:pPr>
        <w:spacing w:after="80"/>
      </w:pPr>
    </w:p>
    <w:p>
      <w:pPr>
        <w:spacing w:before="220" w:after="80"/>
        <w:jc w:val="right"/>
        <w:bidi w:val="1"/>
      </w:pPr>
      <w:r>
        <w:rPr>
          <w:rFonts w:ascii="Arial" w:hAnsi="Arial"/>
          <w:b/>
          <w:i w:val="0"/>
          <w:color w:val="13283F"/>
          <w:sz w:val="23"/>
          <w:rtl w:val="1"/>
          <w:rFonts w:cs="Arial"/>
        </w:rPr>
        <w:t>أ٦ — معايير قبول العلامة</w:t>
      </w:r>
    </w:p>
    <w:p>
      <w:pPr>
        <w:pStyle w:val="ListBullet"/>
        <w:spacing w:before="0" w:after="40"/>
        <w:jc w:val="both"/>
        <w:bidi w:val="1"/>
      </w:pPr>
      <w:r>
        <w:rPr>
          <w:rFonts w:ascii="Arial" w:hAnsi="Arial"/>
          <w:b w:val="0"/>
          <w:i w:val="0"/>
          <w:color w:val="13283F"/>
          <w:sz w:val="18"/>
          <w:rtl w:val="1"/>
          <w:rFonts w:cs="Arial"/>
        </w:rPr>
        <w:t>تسليم كل ملف معتمد بالعربية والإنجليزية وبصيغة ثنائية اللغة حيثما ينطبق.</w:t>
      </w:r>
    </w:p>
    <w:p>
      <w:pPr>
        <w:pStyle w:val="ListBullet"/>
        <w:spacing w:before="0" w:after="40"/>
        <w:jc w:val="both"/>
        <w:bidi w:val="1"/>
      </w:pPr>
      <w:r>
        <w:rPr>
          <w:rFonts w:ascii="Arial" w:hAnsi="Arial"/>
          <w:b w:val="0"/>
          <w:i w:val="0"/>
          <w:color w:val="13283F"/>
          <w:sz w:val="18"/>
          <w:rtl w:val="1"/>
          <w:rFonts w:cs="Arial"/>
        </w:rPr>
        <w:t>أن يميّز النظام بوضوح بين الكيانات الستة من النظرة الأولى مع الحفاظ على علامة أم واحدة.</w:t>
      </w:r>
    </w:p>
    <w:p>
      <w:pPr>
        <w:pStyle w:val="ListBullet"/>
        <w:spacing w:before="0" w:after="40"/>
        <w:jc w:val="both"/>
        <w:bidi w:val="1"/>
      </w:pPr>
      <w:r>
        <w:rPr>
          <w:rFonts w:ascii="Arial" w:hAnsi="Arial"/>
          <w:b w:val="0"/>
          <w:i w:val="0"/>
          <w:color w:val="13283F"/>
          <w:sz w:val="18"/>
          <w:rtl w:val="1"/>
          <w:rFonts w:cs="Arial"/>
        </w:rPr>
        <w:t>عرض كل تصميم في تطبيقات واقعية، لا تقييمه كشعار على صفحة فارغة فحسب.</w:t>
      </w:r>
    </w:p>
    <w:p>
      <w:pPr>
        <w:pStyle w:val="ListBullet"/>
        <w:spacing w:before="0" w:after="40"/>
        <w:jc w:val="both"/>
        <w:bidi w:val="1"/>
      </w:pPr>
      <w:r>
        <w:rPr>
          <w:rFonts w:ascii="Arial" w:hAnsi="Arial"/>
          <w:b w:val="0"/>
          <w:i w:val="0"/>
          <w:color w:val="13283F"/>
          <w:sz w:val="18"/>
          <w:rtl w:val="1"/>
          <w:rFonts w:cs="Arial"/>
        </w:rPr>
        <w:t>أن تتضمن جميع الخطوط والأصول الجاهزة والصور والموسيقى ومكونات البرمجيات حقوقًا تجارية قابلة للنقل أو شروط ترخيص موثقة.</w:t>
      </w:r>
    </w:p>
    <w:p>
      <w:pPr>
        <w:pStyle w:val="ListBullet"/>
        <w:spacing w:before="0" w:after="40"/>
        <w:jc w:val="both"/>
        <w:bidi w:val="1"/>
      </w:pPr>
      <w:r>
        <w:rPr>
          <w:rFonts w:ascii="Arial" w:hAnsi="Arial"/>
          <w:b w:val="0"/>
          <w:i w:val="0"/>
          <w:color w:val="13283F"/>
          <w:sz w:val="18"/>
          <w:rtl w:val="1"/>
          <w:rFonts w:cs="Arial"/>
        </w:rPr>
        <w:t>أن تجتاز الهوية اختبارات الوضوح والتباين والحجم الصغير والأحادي والإنتاج الطباعي والاستجابة الرقمية.</w:t>
      </w:r>
    </w:p>
    <w:p>
      <w:pPr>
        <w:pStyle w:val="ListBullet"/>
        <w:spacing w:before="0" w:after="40"/>
        <w:jc w:val="both"/>
        <w:bidi w:val="1"/>
      </w:pPr>
      <w:r>
        <w:rPr>
          <w:rFonts w:ascii="Arial" w:hAnsi="Arial"/>
          <w:b w:val="0"/>
          <w:i w:val="0"/>
          <w:color w:val="13283F"/>
          <w:sz w:val="18"/>
          <w:rtl w:val="1"/>
          <w:rFonts w:cs="Arial"/>
        </w:rPr>
        <w:t>أن تُكمل الوكالة ورشة حوكمة العلامة وتوفر جلسة تدريب مسجلة وتعالج جميع عيوب التسليم المتفق عليها قبل القبول.</w:t>
      </w:r>
    </w:p>
    <w:p>
      <w:pPr>
        <w:spacing w:before="360" w:after="120"/>
        <w:jc w:val="right"/>
        <w:bidi w:val="1"/>
      </w:pPr>
      <w:r>
        <w:rPr>
          <w:rFonts w:ascii="Arial" w:hAnsi="Arial"/>
          <w:b/>
          <w:i w:val="0"/>
          <w:color w:val="13283F"/>
          <w:sz w:val="34"/>
          <w:rtl w:val="1"/>
          <w:rFonts w:cs="Arial"/>
        </w:rPr>
        <w:t>الملحق (ب) — مواصفات الموقع الإلكتروني والمنصة الرقمية</w:t>
      </w:r>
    </w:p>
    <w:p>
      <w:pPr>
        <w:spacing w:before="220" w:after="80"/>
        <w:jc w:val="right"/>
        <w:bidi w:val="1"/>
      </w:pPr>
      <w:r>
        <w:rPr>
          <w:rFonts w:ascii="Arial" w:hAnsi="Arial"/>
          <w:b/>
          <w:i w:val="0"/>
          <w:color w:val="13283F"/>
          <w:sz w:val="23"/>
          <w:rtl w:val="1"/>
          <w:rFonts w:cs="Arial"/>
        </w:rPr>
        <w:t>ب١ — الاستراتيجية الرقمية وهندسة المعلومات</w:t>
      </w:r>
    </w:p>
    <w:p>
      <w:pPr>
        <w:spacing w:before="0" w:after="100"/>
        <w:jc w:val="both"/>
        <w:bidi w:val="1"/>
      </w:pPr>
      <w:r>
        <w:rPr>
          <w:rFonts w:ascii="Arial" w:hAnsi="Arial"/>
          <w:b w:val="0"/>
          <w:i w:val="0"/>
          <w:color w:val="13283F"/>
          <w:sz w:val="18"/>
          <w:rtl w:val="1"/>
          <w:rFonts w:cs="Arial"/>
        </w:rPr>
        <w:t>تتكون المنظومة الرقمية من موقع بوابة مؤسسي مستقل لثرا القابضة وخمسة مواقع مخصصة للشركات التشغيلية. ويجب أن تستخدم المواقع الستة جميعها نظام علامة موحدًا وحوكمة مشتركة وتنقّلًا مترابطًا. ويجب أن تشرح مجتمعةً المنظومة، وتوجّه كل جمهور إلى الكيان أو الخدمة المعنية، وتحوّل الاهتمام إلى طلبات أو استفسارات منظمة، وتنشئ مسار بيانات موثوقًا من الاستقطاب حتى الاستجابة والنتيجة.</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رحلة المستخدم</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النتيجة المطلوبة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مؤسس أو منشأة صغيرة/متوسطة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فهم البرنامج أو مساحة العمل أو الخدمة أو المسار الاستثماري المعني؛ وتأكيد الأهلية؛ والتقديم أو الاستفسار؛ وتلقي التأكيد ورسائل الحالة.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مستثمر</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فهم التفويض المعتمد لثرا كابيتال؛ والاطلاع على الفرص أو معلومات المحفظة المصرّح بها؛ وتسجيل الاهتمام عبر مسار مؤهل ومتوافق.</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شريك مؤسسي أو حكومي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تحديد مسارات الابتكار أو التعهيد أو الرعاية أو تنفيذ البرامج أو الشراكة وتقديم استفسار منظم.</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عضو الغرفة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التعرف على الخدمات المتاحة لأعضاء الأعمال والوصول إلى الكيان الصحيح دون الحاجة لفهم الهيكل المؤسسي الداخلي.</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وافد دولي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فهم لماذا عجمان، ودعم دخول السوق المتاح، والخطوة التالية للتأسيس أو الشراكة.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الإعلام</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الوصول إلى الحقائق المعتمدة وملفات القيادات والبيانات والصور وبيانات التواصل الإعلامي.</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مقدم طلب أو مرشح</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العثور على البرامج والوظائف، وتقديم المعلومات بأمان، وتلقي إشعارات الموافقة، وفهم أزمنة الاستجابة المتوقعة.</w:t>
            </w:r>
          </w:p>
        </w:tc>
      </w:tr>
    </w:tbl>
    <w:p>
      <w:pPr>
        <w:spacing w:after="80"/>
      </w:pPr>
    </w:p>
    <w:p>
      <w:pPr>
        <w:spacing w:before="220" w:after="80"/>
        <w:jc w:val="right"/>
        <w:bidi w:val="1"/>
      </w:pPr>
      <w:r>
        <w:rPr>
          <w:rFonts w:ascii="Arial" w:hAnsi="Arial"/>
          <w:b/>
          <w:i w:val="0"/>
          <w:color w:val="13283F"/>
          <w:sz w:val="23"/>
          <w:rtl w:val="1"/>
          <w:rFonts w:cs="Arial"/>
        </w:rPr>
        <w:t>ب٢ — المتطلبات الوظيفية</w:t>
      </w:r>
    </w:p>
    <w:tbl>
      <w:tblPr>
        <w:tblStyle w:val="TableGrid"/>
        <w:tblW w:type="auto" w:w="0"/>
        <w:jc w:val="center"/>
        <w:tblLayout w:type="fixed"/>
        <w:tblLook w:firstColumn="1" w:firstRow="1" w:lastColumn="0" w:lastRow="0" w:noHBand="0" w:noVBand="1" w:val="04A0"/>
        <w:bidiVisual/>
      </w:tblPr>
      <w:tblGrid>
        <w:gridCol w:w="2439"/>
        <w:gridCol w:w="5765"/>
        <w:gridCol w:w="1774"/>
      </w:tblGrid>
      <w:tr>
        <w:tc>
          <w:tcPr>
            <w:tcW w:type="dxa" w:w="2439"/>
            <w:shd w:val="clear" w:fill="13283F"/>
          </w:tcPr>
          <w:p>
            <w:pPr>
              <w:spacing w:after="20"/>
              <w:jc w:val="both"/>
              <w:bidi w:val="1"/>
            </w:pPr>
            <w:r>
              <w:rPr>
                <w:rtl w:val="1"/>
                <w:rFonts w:cs="Arial"/>
              </w:rPr>
            </w:r>
            <w:r>
              <w:rPr>
                <w:rFonts w:ascii="Arial" w:hAnsi="Arial"/>
                <w:b/>
                <w:color w:val="FFFFFF"/>
                <w:sz w:val="17"/>
                <w:rtl w:val="1"/>
                <w:rFonts w:cs="Arial"/>
              </w:rPr>
              <w:t>الوظيفة</w:t>
            </w:r>
          </w:p>
        </w:tc>
        <w:tc>
          <w:tcPr>
            <w:tcW w:type="dxa" w:w="5765"/>
            <w:shd w:val="clear" w:fill="13283F"/>
          </w:tcPr>
          <w:p>
            <w:pPr>
              <w:spacing w:after="20"/>
              <w:jc w:val="both"/>
              <w:bidi w:val="1"/>
            </w:pPr>
            <w:r>
              <w:rPr>
                <w:rtl w:val="1"/>
                <w:rFonts w:cs="Arial"/>
              </w:rPr>
            </w:r>
            <w:r>
              <w:rPr>
                <w:rFonts w:ascii="Arial" w:hAnsi="Arial"/>
                <w:b/>
                <w:color w:val="FFFFFF"/>
                <w:sz w:val="17"/>
                <w:rtl w:val="1"/>
                <w:rFonts w:cs="Arial"/>
              </w:rPr>
              <w:t>المتطلب</w:t>
            </w:r>
          </w:p>
        </w:tc>
        <w:tc>
          <w:tcPr>
            <w:tcW w:type="dxa" w:w="1774"/>
            <w:shd w:val="clear" w:fill="13283F"/>
          </w:tcPr>
          <w:p>
            <w:pPr>
              <w:spacing w:after="20"/>
              <w:jc w:val="both"/>
              <w:bidi w:val="1"/>
            </w:pPr>
            <w:r>
              <w:rPr>
                <w:rtl w:val="1"/>
                <w:rFonts w:cs="Arial"/>
              </w:rPr>
            </w:r>
            <w:r>
              <w:rPr>
                <w:rFonts w:ascii="Arial" w:hAnsi="Arial"/>
                <w:b/>
                <w:color w:val="FFFFFF"/>
                <w:sz w:val="17"/>
                <w:rtl w:val="1"/>
                <w:rFonts w:cs="Arial"/>
              </w:rPr>
              <w:t>الأولوية</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نظام إدارة محتوى ثنائي اللغة</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تحرير حقيقي من اليمين إلى اليسار ومن اليسار إلى اليمين؛ ومحتوى عربي وإنجليزي مستقل؛ ونشر مجدول؛ وأدوار واعتماد وسجل مراجعات.</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هيكل الكيانات</w:t>
            </w:r>
          </w:p>
        </w:tc>
        <w:tc>
          <w:tcPr>
            <w:tcW w:type="dxa" w:w="5765"/>
            <w:shd w:val="clear" w:fill="E9EDF1"/>
          </w:tcPr>
          <w:p>
            <w:pPr>
              <w:spacing w:after="20"/>
              <w:jc w:val="both"/>
              <w:bidi w:val="1"/>
            </w:pPr>
            <w:r>
              <w:rPr>
                <w:rtl w:val="1"/>
                <w:rFonts w:cs="Arial"/>
              </w:rPr>
            </w:r>
            <w:r>
              <w:rPr>
                <w:rFonts w:ascii="Arial" w:hAnsi="Arial"/>
                <w:color w:val="13283F"/>
                <w:sz w:val="17"/>
                <w:rtl w:val="1"/>
                <w:rFonts w:cs="Arial"/>
              </w:rPr>
              <w:t>منظومة واحدة قابلة للبحث مع وجهات واضحة للكيانات وتنقّل متبادل ومكونات مشتركة.</w:t>
            </w:r>
          </w:p>
        </w:tc>
        <w:tc>
          <w:tcPr>
            <w:tcW w:type="dxa" w:w="1774"/>
            <w:shd w:val="clear" w:fill="E9EDF1"/>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النماذج والطلبات</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حقول شرطية، وحفظ/استئناف عند الحاجة، ورفع ملفات، وموافقة، وحماية من الرسائل المزعجة، وتأكيد، وتوجيه، وتصدير، وجاهزية لربط الحالة.</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الربط بإدارة العلاقات</w:t>
            </w:r>
          </w:p>
        </w:tc>
        <w:tc>
          <w:tcPr>
            <w:tcW w:type="dxa" w:w="5765"/>
            <w:shd w:val="clear" w:fill="E9EDF1"/>
          </w:tcPr>
          <w:p>
            <w:pPr>
              <w:spacing w:after="20"/>
              <w:jc w:val="both"/>
              <w:bidi w:val="1"/>
            </w:pPr>
            <w:r>
              <w:rPr>
                <w:rtl w:val="1"/>
                <w:rFonts w:cs="Arial"/>
              </w:rPr>
            </w:r>
            <w:r>
              <w:rPr>
                <w:rFonts w:ascii="Arial" w:hAnsi="Arial"/>
                <w:color w:val="13283F"/>
                <w:sz w:val="17"/>
                <w:rtl w:val="1"/>
                <w:rFonts w:cs="Arial"/>
              </w:rPr>
              <w:t>توجيه جاهز عبر واجهات برمجية إلى أدوات إدارة العلاقات أو سير العمل المعتمدة؛ مع الحفاظ على المصدر والحملة والموافقة والكيان ونوع الاستفسار.</w:t>
            </w:r>
          </w:p>
        </w:tc>
        <w:tc>
          <w:tcPr>
            <w:tcW w:type="dxa" w:w="1774"/>
            <w:shd w:val="clear" w:fill="E9EDF1"/>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البحث</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بحث مفهرس بالعربية والإنجليزية مع حالات فراغ مفيدة وتحليلات.</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الفعاليات</w:t>
            </w:r>
          </w:p>
        </w:tc>
        <w:tc>
          <w:tcPr>
            <w:tcW w:type="dxa" w:w="5765"/>
            <w:shd w:val="clear" w:fill="E9EDF1"/>
          </w:tcPr>
          <w:p>
            <w:pPr>
              <w:spacing w:after="20"/>
              <w:jc w:val="both"/>
              <w:bidi w:val="1"/>
            </w:pPr>
            <w:r>
              <w:rPr>
                <w:rtl w:val="1"/>
                <w:rFonts w:cs="Arial"/>
              </w:rPr>
            </w:r>
            <w:r>
              <w:rPr>
                <w:rFonts w:ascii="Arial" w:hAnsi="Arial"/>
                <w:color w:val="13283F"/>
                <w:sz w:val="17"/>
                <w:rtl w:val="1"/>
                <w:rFonts w:cs="Arial"/>
              </w:rPr>
              <w:t>قوائم الفعاليات، وروابط/نماذج التسجيل، والسعة/الحالة، والتوافق مع التقويم، ومحتوى ما بعد الفعالية.</w:t>
            </w:r>
          </w:p>
        </w:tc>
        <w:tc>
          <w:tcPr>
            <w:tcW w:type="dxa" w:w="1774"/>
            <w:shd w:val="clear" w:fill="E9EDF1"/>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الأخبار والموارد</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البيانات، والرؤى، ودراسات الحالة، والوثائق القابلة للتنزيل، والمرشحات، ومكتبة الوسائط.</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الوظائف</w:t>
            </w:r>
          </w:p>
        </w:tc>
        <w:tc>
          <w:tcPr>
            <w:tcW w:type="dxa" w:w="5765"/>
            <w:shd w:val="clear" w:fill="E9EDF1"/>
          </w:tcPr>
          <w:p>
            <w:pPr>
              <w:spacing w:after="20"/>
              <w:jc w:val="both"/>
              <w:bidi w:val="1"/>
            </w:pPr>
            <w:r>
              <w:rPr>
                <w:rtl w:val="1"/>
                <w:rFonts w:cs="Arial"/>
              </w:rPr>
            </w:r>
            <w:r>
              <w:rPr>
                <w:rFonts w:ascii="Arial" w:hAnsi="Arial"/>
                <w:color w:val="13283F"/>
                <w:sz w:val="17"/>
                <w:rtl w:val="1"/>
                <w:rFonts w:cs="Arial"/>
              </w:rPr>
              <w:t>قائمة الشواغر وتوجيه الطلبات المعتمد؛ دون إرسال بيانات حساسة لمقدمي الطلبات عبر بريد غير آمن.</w:t>
            </w:r>
          </w:p>
        </w:tc>
        <w:tc>
          <w:tcPr>
            <w:tcW w:type="dxa" w:w="1774"/>
            <w:shd w:val="clear" w:fill="E9EDF1"/>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التحليلات</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GA4 أو ما يعادله معتمدًا، وإدارة الوسوم، وأحداث التحويل، ومعاملات الحملات، وضوابط الموافقة، وموصّل لوحة المعلومات.</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إلزامي</w:t>
            </w:r>
          </w:p>
        </w:tc>
      </w:tr>
      <w:tr>
        <w:tc>
          <w:tcPr>
            <w:tcW w:type="dxa" w:w="2439"/>
            <w:shd w:val="clear" w:fill="E9EDF1"/>
          </w:tcPr>
          <w:p>
            <w:pPr>
              <w:spacing w:after="20"/>
              <w:jc w:val="both"/>
              <w:bidi w:val="1"/>
            </w:pPr>
            <w:r>
              <w:rPr>
                <w:rtl w:val="1"/>
                <w:rFonts w:cs="Arial"/>
              </w:rPr>
            </w:r>
            <w:r>
              <w:rPr>
                <w:rFonts w:ascii="Arial" w:hAnsi="Arial"/>
                <w:b/>
                <w:color w:val="13283F"/>
                <w:sz w:val="17"/>
                <w:rtl w:val="1"/>
                <w:rFonts w:cs="Arial"/>
              </w:rPr>
              <w:t>التخصيص</w:t>
            </w:r>
          </w:p>
        </w:tc>
        <w:tc>
          <w:tcPr>
            <w:tcW w:type="dxa" w:w="5765"/>
            <w:shd w:val="clear" w:fill="E9EDF1"/>
          </w:tcPr>
          <w:p>
            <w:pPr>
              <w:spacing w:after="20"/>
              <w:jc w:val="both"/>
              <w:bidi w:val="1"/>
            </w:pPr>
            <w:r>
              <w:rPr>
                <w:rtl w:val="1"/>
                <w:rFonts w:cs="Arial"/>
              </w:rPr>
            </w:r>
            <w:r>
              <w:rPr>
                <w:rFonts w:ascii="Arial" w:hAnsi="Arial"/>
                <w:color w:val="13283F"/>
                <w:sz w:val="17"/>
                <w:rtl w:val="1"/>
                <w:rFonts w:cs="Arial"/>
              </w:rPr>
              <w:t>رحلات قائمة على الجمهور أو الحملة حيثما كان ذلك متوافقًا مع الخصوصية وقابلًا للدعم تشغيليًا.</w:t>
            </w:r>
          </w:p>
        </w:tc>
        <w:tc>
          <w:tcPr>
            <w:tcW w:type="dxa" w:w="1774"/>
            <w:shd w:val="clear" w:fill="E9EDF1"/>
          </w:tcPr>
          <w:p>
            <w:pPr>
              <w:spacing w:after="20"/>
              <w:jc w:val="both"/>
              <w:bidi w:val="1"/>
            </w:pPr>
            <w:r>
              <w:rPr>
                <w:rtl w:val="1"/>
                <w:rFonts w:cs="Arial"/>
              </w:rPr>
            </w:r>
            <w:r>
              <w:rPr>
                <w:rFonts w:ascii="Arial" w:hAnsi="Arial"/>
                <w:color w:val="13283F"/>
                <w:sz w:val="17"/>
                <w:rtl w:val="1"/>
                <w:rFonts w:cs="Arial"/>
              </w:rPr>
              <w:t>اختياري</w:t>
            </w:r>
          </w:p>
        </w:tc>
      </w:tr>
      <w:tr>
        <w:tc>
          <w:tcPr>
            <w:tcW w:type="dxa" w:w="2439"/>
            <w:shd w:val="clear" w:fill="F4F6F8"/>
          </w:tcPr>
          <w:p>
            <w:pPr>
              <w:spacing w:after="20"/>
              <w:jc w:val="both"/>
              <w:bidi w:val="1"/>
            </w:pPr>
            <w:r>
              <w:rPr>
                <w:rtl w:val="1"/>
                <w:rFonts w:cs="Arial"/>
              </w:rPr>
            </w:r>
            <w:r>
              <w:rPr>
                <w:rFonts w:ascii="Arial" w:hAnsi="Arial"/>
                <w:b/>
                <w:color w:val="13283F"/>
                <w:sz w:val="17"/>
                <w:rtl w:val="1"/>
                <w:rFonts w:cs="Arial"/>
              </w:rPr>
              <w:t>بوابة المؤسسين</w:t>
            </w:r>
          </w:p>
        </w:tc>
        <w:tc>
          <w:tcPr>
            <w:tcW w:type="dxa" w:w="5765"/>
            <w:shd w:val="clear" w:fill="F4F6F8"/>
          </w:tcPr>
          <w:p>
            <w:pPr>
              <w:spacing w:after="20"/>
              <w:jc w:val="both"/>
              <w:bidi w:val="1"/>
            </w:pPr>
            <w:r>
              <w:rPr>
                <w:rtl w:val="1"/>
                <w:rFonts w:cs="Arial"/>
              </w:rPr>
            </w:r>
            <w:r>
              <w:rPr>
                <w:rFonts w:ascii="Arial" w:hAnsi="Arial"/>
                <w:color w:val="13283F"/>
                <w:sz w:val="17"/>
                <w:rtl w:val="1"/>
                <w:rFonts w:cs="Arial"/>
              </w:rPr>
              <w:t>حالة البرنامج والموارد أو ميزات المجتمع بعد المصادقة، فقط إذا اعتُمدت وسُعّرت بشكل منفصل.</w:t>
            </w:r>
          </w:p>
        </w:tc>
        <w:tc>
          <w:tcPr>
            <w:tcW w:type="dxa" w:w="1774"/>
            <w:shd w:val="clear" w:fill="F4F6F8"/>
          </w:tcPr>
          <w:p>
            <w:pPr>
              <w:spacing w:after="20"/>
              <w:jc w:val="both"/>
              <w:bidi w:val="1"/>
            </w:pPr>
            <w:r>
              <w:rPr>
                <w:rtl w:val="1"/>
                <w:rFonts w:cs="Arial"/>
              </w:rPr>
            </w:r>
            <w:r>
              <w:rPr>
                <w:rFonts w:ascii="Arial" w:hAnsi="Arial"/>
                <w:color w:val="13283F"/>
                <w:sz w:val="17"/>
                <w:rtl w:val="1"/>
                <w:rFonts w:cs="Arial"/>
              </w:rPr>
              <w:t>اختياري</w:t>
            </w:r>
          </w:p>
        </w:tc>
      </w:tr>
    </w:tbl>
    <w:p>
      <w:pPr>
        <w:spacing w:after="80"/>
      </w:pPr>
    </w:p>
    <w:p>
      <w:pPr>
        <w:spacing w:before="220" w:after="80"/>
        <w:jc w:val="right"/>
        <w:bidi w:val="1"/>
      </w:pPr>
      <w:r>
        <w:rPr>
          <w:rFonts w:ascii="Arial" w:hAnsi="Arial"/>
          <w:b/>
          <w:i w:val="0"/>
          <w:color w:val="13283F"/>
          <w:sz w:val="23"/>
          <w:rtl w:val="1"/>
          <w:rFonts w:cs="Arial"/>
        </w:rPr>
        <w:t>ب٣ — المتطلبات غير الوظيفية والتقنية</w:t>
      </w:r>
    </w:p>
    <w:p>
      <w:pPr>
        <w:pStyle w:val="ListBullet"/>
        <w:spacing w:before="0" w:after="40"/>
        <w:jc w:val="both"/>
        <w:bidi w:val="1"/>
      </w:pPr>
      <w:r>
        <w:rPr>
          <w:rFonts w:ascii="Arial" w:hAnsi="Arial"/>
          <w:b w:val="0"/>
          <w:i w:val="0"/>
          <w:color w:val="13283F"/>
          <w:sz w:val="18"/>
          <w:rtl w:val="1"/>
          <w:rFonts w:cs="Arial"/>
        </w:rPr>
        <w:t>أداء متجاوب عبر متصفحات الجوال واللوحي وسطح المكتب الرئيسية الحالية، مع اعتبار الجوال التجربة الأساسية.</w:t>
      </w:r>
    </w:p>
    <w:p>
      <w:pPr>
        <w:pStyle w:val="ListBullet"/>
        <w:spacing w:before="0" w:after="40"/>
        <w:jc w:val="both"/>
        <w:bidi w:val="1"/>
      </w:pPr>
      <w:r>
        <w:rPr>
          <w:rFonts w:ascii="Arial" w:hAnsi="Arial"/>
          <w:b w:val="0"/>
          <w:i w:val="0"/>
          <w:color w:val="13283F"/>
          <w:sz w:val="18"/>
          <w:rtl w:val="1"/>
          <w:rFonts w:cs="Arial"/>
        </w:rPr>
        <w:t>مؤشرات Core Web Vitals المستهدفة عند الإطلاق: LCP بحد أقصى ٢.٥ ثانية، وINP أقل من ٢٠٠ مللي ثانية، وCLS أقل من ٠.١ عند المئين الخامس والسبعين، رهنًا بالاستضافة والنصوص البرمجية الخارجية المتفق عليها.</w:t>
      </w:r>
    </w:p>
    <w:p>
      <w:pPr>
        <w:pStyle w:val="ListBullet"/>
        <w:spacing w:before="0" w:after="40"/>
        <w:jc w:val="both"/>
        <w:bidi w:val="1"/>
      </w:pPr>
      <w:r>
        <w:rPr>
          <w:rFonts w:ascii="Arial" w:hAnsi="Arial"/>
          <w:b w:val="0"/>
          <w:i w:val="0"/>
          <w:color w:val="13283F"/>
          <w:sz w:val="18"/>
          <w:rtl w:val="1"/>
          <w:rFonts w:cs="Arial"/>
        </w:rPr>
        <w:t>إتاحة وصول مصممة ومختبرة وفق مبادئ WCAG 2.2 المستوى AA للقوالب والرحلات الأساسية.</w:t>
      </w:r>
    </w:p>
    <w:p>
      <w:pPr>
        <w:pStyle w:val="ListBullet"/>
        <w:spacing w:before="0" w:after="40"/>
        <w:jc w:val="both"/>
        <w:bidi w:val="1"/>
      </w:pPr>
      <w:r>
        <w:rPr>
          <w:rFonts w:ascii="Arial" w:hAnsi="Arial"/>
          <w:b w:val="0"/>
          <w:i w:val="0"/>
          <w:color w:val="13283F"/>
          <w:sz w:val="18"/>
          <w:rtl w:val="1"/>
          <w:rFonts w:cs="Arial"/>
        </w:rPr>
        <w:t>دورة تطوير آمنة، وHTTPS، وإدارة بأقل الامتيازات، ومصادقة متعددة العوامل، وإدارة التبعيات، وحماية من البرمجيات الخبيثة، ونسخ احتياطية، وسجلات، ووثائق استرداد.</w:t>
      </w:r>
    </w:p>
    <w:p>
      <w:pPr>
        <w:pStyle w:val="ListBullet"/>
        <w:spacing w:before="0" w:after="40"/>
        <w:jc w:val="both"/>
        <w:bidi w:val="1"/>
      </w:pPr>
      <w:r>
        <w:rPr>
          <w:rFonts w:ascii="Arial" w:hAnsi="Arial"/>
          <w:b w:val="0"/>
          <w:i w:val="0"/>
          <w:color w:val="13283F"/>
          <w:sz w:val="18"/>
          <w:rtl w:val="1"/>
          <w:rFonts w:cs="Arial"/>
        </w:rPr>
        <w:t>الامتثال لحماية البيانات في الدولة وقرارات الاستضافة/إقامة البيانات المعتمدة. وعلى مقدم العرض تحديد كل معالج ومنطقة استضافة ونقل دولي للبيانات.</w:t>
      </w:r>
    </w:p>
    <w:p>
      <w:pPr>
        <w:pStyle w:val="ListBullet"/>
        <w:spacing w:before="0" w:after="40"/>
        <w:jc w:val="both"/>
        <w:bidi w:val="1"/>
      </w:pPr>
      <w:r>
        <w:rPr>
          <w:rFonts w:ascii="Arial" w:hAnsi="Arial"/>
          <w:b w:val="0"/>
          <w:i w:val="0"/>
          <w:color w:val="13283F"/>
          <w:sz w:val="18"/>
          <w:rtl w:val="1"/>
          <w:rFonts w:cs="Arial"/>
        </w:rPr>
        <w:t>تحسين محركات البحث بما يشمل البيانات الوصفية والعناوين والمخططات وخرائط الموقع وإعادة التوجيه والقواعد القانونية والمحتوى المنظم والأداء بالعربية والإنجليزية.</w:t>
      </w:r>
    </w:p>
    <w:p>
      <w:pPr>
        <w:pStyle w:val="ListBullet"/>
        <w:spacing w:before="0" w:after="40"/>
        <w:jc w:val="both"/>
        <w:bidi w:val="1"/>
      </w:pPr>
      <w:r>
        <w:rPr>
          <w:rFonts w:ascii="Arial" w:hAnsi="Arial"/>
          <w:b w:val="0"/>
          <w:i w:val="0"/>
          <w:color w:val="13283F"/>
          <w:sz w:val="18"/>
          <w:rtl w:val="1"/>
          <w:rFonts w:cs="Arial"/>
        </w:rPr>
        <w:t>عدم وجود احتكار تقني. يجب أن تتحكم ثرا في النطاق وحساب الاستضافة ومستودع الشيفرة ووصول المسؤول الأعلى لنظام إدارة المحتوى والتحليلات والوسوم والنماذج وقواعد البيانات والنسخ الاحتياطية.</w:t>
      </w:r>
    </w:p>
    <w:p>
      <w:pPr>
        <w:pStyle w:val="ListBullet"/>
        <w:spacing w:before="0" w:after="40"/>
        <w:jc w:val="both"/>
        <w:bidi w:val="1"/>
      </w:pPr>
      <w:r>
        <w:rPr>
          <w:rFonts w:ascii="Arial" w:hAnsi="Arial"/>
          <w:b w:val="0"/>
          <w:i w:val="0"/>
          <w:color w:val="13283F"/>
          <w:sz w:val="18"/>
          <w:rtl w:val="1"/>
          <w:rFonts w:cs="Arial"/>
        </w:rPr>
        <w:t>بيئات موثقة للتطوير والاختبار والإنتاج؛ وعملية نشر وتراجع منضبطة؛ وعدم الاختبار ببيانات شخصية حية.</w:t>
      </w:r>
    </w:p>
    <w:p>
      <w:pPr>
        <w:pStyle w:val="ListBullet"/>
        <w:spacing w:before="0" w:after="40"/>
        <w:jc w:val="both"/>
        <w:bidi w:val="1"/>
      </w:pPr>
      <w:r>
        <w:rPr>
          <w:rFonts w:ascii="Arial" w:hAnsi="Arial"/>
          <w:b w:val="0"/>
          <w:i w:val="0"/>
          <w:color w:val="13283F"/>
          <w:sz w:val="18"/>
          <w:rtl w:val="1"/>
          <w:rFonts w:cs="Arial"/>
        </w:rPr>
        <w:t>نسخ احتياطي يومي آلي ونهج احتفاظ متفق عليه؛ واختبار الاسترداد قبل القبول النهائي.</w:t>
      </w:r>
    </w:p>
    <w:p>
      <w:pPr>
        <w:pStyle w:val="ListBullet"/>
        <w:spacing w:before="0" w:after="40"/>
        <w:jc w:val="both"/>
        <w:bidi w:val="1"/>
      </w:pPr>
      <w:r>
        <w:rPr>
          <w:rFonts w:ascii="Arial" w:hAnsi="Arial"/>
          <w:b w:val="0"/>
          <w:i w:val="0"/>
          <w:color w:val="13283F"/>
          <w:sz w:val="18"/>
          <w:rtl w:val="1"/>
          <w:rFonts w:cs="Arial"/>
        </w:rPr>
        <w:t>التوافق مع الربط المستقبلي بأنظمة إدارة العلاقات وأتمتة التسويق وإدارة البرامج وعلاقات المستثمرين ومنصات ذكاء الأعمال.</w:t>
      </w:r>
    </w:p>
    <w:p>
      <w:pPr>
        <w:spacing w:before="220" w:after="80"/>
        <w:jc w:val="right"/>
        <w:bidi w:val="1"/>
      </w:pPr>
      <w:r>
        <w:rPr>
          <w:rFonts w:ascii="Arial" w:hAnsi="Arial"/>
          <w:b/>
          <w:i w:val="0"/>
          <w:color w:val="13283F"/>
          <w:sz w:val="23"/>
          <w:rtl w:val="1"/>
          <w:rFonts w:cs="Arial"/>
        </w:rPr>
        <w:t>ب٤ — مخرجات الموقع وبواباته</w:t>
      </w:r>
    </w:p>
    <w:tbl>
      <w:tblPr>
        <w:tblStyle w:val="TableGrid"/>
        <w:tblW w:type="auto" w:w="0"/>
        <w:jc w:val="center"/>
        <w:tblLayout w:type="fixed"/>
        <w:tblLook w:firstColumn="1" w:firstRow="1" w:lastColumn="0" w:lastRow="0" w:noHBand="0" w:noVBand="1" w:val="04A0"/>
        <w:bidiVisual/>
      </w:tblPr>
      <w:tblGrid>
        <w:gridCol w:w="1995"/>
        <w:gridCol w:w="4878"/>
        <w:gridCol w:w="3104"/>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البوابة</w:t>
            </w:r>
          </w:p>
        </w:tc>
        <w:tc>
          <w:tcPr>
            <w:tcW w:type="dxa" w:w="4878"/>
            <w:shd w:val="clear" w:fill="13283F"/>
          </w:tcPr>
          <w:p>
            <w:pPr>
              <w:spacing w:after="20"/>
              <w:jc w:val="both"/>
              <w:bidi w:val="1"/>
            </w:pPr>
            <w:r>
              <w:rPr>
                <w:rtl w:val="1"/>
                <w:rFonts w:cs="Arial"/>
              </w:rPr>
            </w:r>
            <w:r>
              <w:rPr>
                <w:rFonts w:ascii="Arial" w:hAnsi="Arial"/>
                <w:b/>
                <w:color w:val="FFFFFF"/>
                <w:sz w:val="17"/>
                <w:rtl w:val="1"/>
                <w:rFonts w:cs="Arial"/>
              </w:rPr>
              <w:t>مواد الاعتماد المطلوبة</w:t>
            </w:r>
          </w:p>
        </w:tc>
        <w:tc>
          <w:tcPr>
            <w:tcW w:type="dxa" w:w="3104"/>
            <w:shd w:val="clear" w:fill="13283F"/>
          </w:tcPr>
          <w:p>
            <w:pPr>
              <w:spacing w:after="20"/>
              <w:jc w:val="both"/>
              <w:bidi w:val="1"/>
            </w:pPr>
            <w:r>
              <w:rPr>
                <w:rtl w:val="1"/>
                <w:rFonts w:cs="Arial"/>
              </w:rPr>
            </w:r>
            <w:r>
              <w:rPr>
                <w:rFonts w:ascii="Arial" w:hAnsi="Arial"/>
                <w:b/>
                <w:color w:val="FFFFFF"/>
                <w:sz w:val="17"/>
                <w:rtl w:val="1"/>
                <w:rFonts w:cs="Arial"/>
              </w:rPr>
              <w:t>شرط القبول</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١ الاستراتيجية</w:t>
            </w:r>
          </w:p>
        </w:tc>
        <w:tc>
          <w:tcPr>
            <w:tcW w:type="dxa" w:w="4878"/>
            <w:shd w:val="clear" w:fill="F4F6F8"/>
          </w:tcPr>
          <w:p>
            <w:pPr>
              <w:spacing w:after="20"/>
              <w:jc w:val="both"/>
              <w:bidi w:val="1"/>
            </w:pPr>
            <w:r>
              <w:rPr>
                <w:rtl w:val="1"/>
                <w:rFonts w:cs="Arial"/>
              </w:rPr>
            </w:r>
            <w:r>
              <w:rPr>
                <w:rFonts w:ascii="Arial" w:hAnsi="Arial"/>
                <w:color w:val="13283F"/>
                <w:sz w:val="17"/>
                <w:rtl w:val="1"/>
                <w:rFonts w:cs="Arial"/>
              </w:rPr>
              <w:t>الأهداف والجماهير وخط أساس التحليلات والرحلات وخريطة الموقع ونموذج المحتوى.</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اعتماد خطي قبل بناء الإطارات.</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٢ التجربة</w:t>
            </w:r>
          </w:p>
        </w:tc>
        <w:tc>
          <w:tcPr>
            <w:tcW w:type="dxa" w:w="4878"/>
            <w:shd w:val="clear" w:fill="E9EDF1"/>
          </w:tcPr>
          <w:p>
            <w:pPr>
              <w:spacing w:after="20"/>
              <w:jc w:val="both"/>
              <w:bidi w:val="1"/>
            </w:pPr>
            <w:r>
              <w:rPr>
                <w:rtl w:val="1"/>
                <w:rFonts w:cs="Arial"/>
              </w:rPr>
            </w:r>
            <w:r>
              <w:rPr>
                <w:rFonts w:ascii="Arial" w:hAnsi="Arial"/>
                <w:color w:val="13283F"/>
                <w:sz w:val="17"/>
                <w:rtl w:val="1"/>
                <w:rFonts w:cs="Arial"/>
              </w:rPr>
              <w:t>إطارات سطح المكتب/الجوال ونماذج أولية مختبرة لجميع الرحلات الحرجة.</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تصنيف مشكلات قابلية الاستخدام ومعالجة العيوب ذات الأولوية.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٣ التصميم</w:t>
            </w:r>
          </w:p>
        </w:tc>
        <w:tc>
          <w:tcPr>
            <w:tcW w:type="dxa" w:w="4878"/>
            <w:shd w:val="clear" w:fill="F4F6F8"/>
          </w:tcPr>
          <w:p>
            <w:pPr>
              <w:spacing w:after="20"/>
              <w:jc w:val="both"/>
              <w:bidi w:val="1"/>
            </w:pPr>
            <w:r>
              <w:rPr>
                <w:rtl w:val="1"/>
                <w:rFonts w:cs="Arial"/>
              </w:rPr>
            </w:r>
            <w:r>
              <w:rPr>
                <w:rFonts w:ascii="Arial" w:hAnsi="Arial"/>
                <w:color w:val="13283F"/>
                <w:sz w:val="17"/>
                <w:rtl w:val="1"/>
                <w:rFonts w:cs="Arial"/>
              </w:rPr>
              <w:t>مكتبة واجهة استخدام كاملة ثنائية اللغة ومتجاوبة وتصاميم صفحات تمثيلية.</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اعتماد العلامة والتخطيط العربي وإتاحة الوصول.</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٤ البناء</w:t>
            </w:r>
          </w:p>
        </w:tc>
        <w:tc>
          <w:tcPr>
            <w:tcW w:type="dxa" w:w="4878"/>
            <w:shd w:val="clear" w:fill="E9EDF1"/>
          </w:tcPr>
          <w:p>
            <w:pPr>
              <w:spacing w:after="20"/>
              <w:jc w:val="both"/>
              <w:bidi w:val="1"/>
            </w:pPr>
            <w:r>
              <w:rPr>
                <w:rtl w:val="1"/>
                <w:rFonts w:cs="Arial"/>
              </w:rPr>
            </w:r>
            <w:r>
              <w:rPr>
                <w:rFonts w:ascii="Arial" w:hAnsi="Arial"/>
                <w:color w:val="13283F"/>
                <w:sz w:val="17"/>
                <w:rtl w:val="1"/>
                <w:rFonts w:cs="Arial"/>
              </w:rPr>
              <w:t>منصة الاختبار، ونظام إدارة المحتوى، والنماذج، والتكاملات، والتحليلات، وتحسين محركات البحث، وإعدادات الأمن.</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إتمام ضمان الجودة الوظيفي مع سجل عيوب.</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٥ المحتوى</w:t>
            </w:r>
          </w:p>
        </w:tc>
        <w:tc>
          <w:tcPr>
            <w:tcW w:type="dxa" w:w="4878"/>
            <w:shd w:val="clear" w:fill="F4F6F8"/>
          </w:tcPr>
          <w:p>
            <w:pPr>
              <w:spacing w:after="20"/>
              <w:jc w:val="both"/>
              <w:bidi w:val="1"/>
            </w:pPr>
            <w:r>
              <w:rPr>
                <w:rtl w:val="1"/>
                <w:rFonts w:cs="Arial"/>
              </w:rPr>
            </w:r>
            <w:r>
              <w:rPr>
                <w:rFonts w:ascii="Arial" w:hAnsi="Arial"/>
                <w:color w:val="13283F"/>
                <w:sz w:val="17"/>
                <w:rtl w:val="1"/>
                <w:rFonts w:cs="Arial"/>
              </w:rPr>
              <w:t>محتوى عربي وإنجليزي معتمد وبيانات وصفية ووسائط وإشعارات قانونية.</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عدم وجود نصوص بديلة أو ادعاءات غير معتمدة.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٦ الجاهزية للإطلاق</w:t>
            </w:r>
          </w:p>
        </w:tc>
        <w:tc>
          <w:tcPr>
            <w:tcW w:type="dxa" w:w="4878"/>
            <w:shd w:val="clear" w:fill="E9EDF1"/>
          </w:tcPr>
          <w:p>
            <w:pPr>
              <w:spacing w:after="20"/>
              <w:jc w:val="both"/>
              <w:bidi w:val="1"/>
            </w:pPr>
            <w:r>
              <w:rPr>
                <w:rtl w:val="1"/>
                <w:rFonts w:cs="Arial"/>
              </w:rPr>
            </w:r>
            <w:r>
              <w:rPr>
                <w:rFonts w:ascii="Arial" w:hAnsi="Arial"/>
                <w:color w:val="13283F"/>
                <w:sz w:val="17"/>
                <w:rtl w:val="1"/>
                <w:rFonts w:cs="Arial"/>
              </w:rPr>
              <w:t>اختبارات الأداء وإتاحة الوصول والأمن والمتصفحات والنسخ الاحتياطي وإعادة التوجيه والتحليلات؛ وتدريب المسؤولين وخطة التراجع.</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اعتماد مشترك للجاهزية للإطلاق.</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٧ الضمان</w:t>
            </w:r>
          </w:p>
        </w:tc>
        <w:tc>
          <w:tcPr>
            <w:tcW w:type="dxa" w:w="4878"/>
            <w:shd w:val="clear" w:fill="F4F6F8"/>
          </w:tcPr>
          <w:p>
            <w:pPr>
              <w:spacing w:after="20"/>
              <w:jc w:val="both"/>
              <w:bidi w:val="1"/>
            </w:pPr>
            <w:r>
              <w:rPr>
                <w:rtl w:val="1"/>
                <w:rFonts w:cs="Arial"/>
              </w:rPr>
            </w:r>
            <w:r>
              <w:rPr>
                <w:rFonts w:ascii="Arial" w:hAnsi="Arial"/>
                <w:color w:val="13283F"/>
                <w:sz w:val="17"/>
                <w:rtl w:val="1"/>
                <w:rFonts w:cs="Arial"/>
              </w:rPr>
              <w:t>ضمان عيوب لا يقل عن ٩٠ يومًا؛ وعلى مقدم العرض تسعير ١٢ شهرًا من الصيانة والدعم بشكل منفصل.</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معالجة العيوب الحرجة/العالية ضمن مستوى الخدمة المتفق عليه.</w:t>
            </w:r>
          </w:p>
        </w:tc>
      </w:tr>
    </w:tbl>
    <w:p>
      <w:pPr>
        <w:spacing w:after="80"/>
      </w:pPr>
    </w:p>
    <w:p>
      <w:pPr>
        <w:spacing w:before="220" w:after="80"/>
        <w:jc w:val="right"/>
        <w:bidi w:val="1"/>
      </w:pPr>
      <w:r>
        <w:rPr>
          <w:rFonts w:ascii="Arial" w:hAnsi="Arial"/>
          <w:b/>
          <w:i w:val="0"/>
          <w:color w:val="13283F"/>
          <w:sz w:val="23"/>
          <w:rtl w:val="1"/>
          <w:rFonts w:cs="Arial"/>
        </w:rPr>
        <w:t>ب٥ — ترحيل المحتوى والملكية</w:t>
      </w:r>
    </w:p>
    <w:p>
      <w:pPr>
        <w:spacing w:before="0" w:after="100"/>
        <w:jc w:val="both"/>
        <w:bidi w:val="1"/>
      </w:pPr>
      <w:r>
        <w:rPr>
          <w:rFonts w:ascii="Arial" w:hAnsi="Arial"/>
          <w:b w:val="0"/>
          <w:i w:val="0"/>
          <w:color w:val="13283F"/>
          <w:sz w:val="18"/>
          <w:rtl w:val="1"/>
          <w:rFonts w:cs="Arial"/>
        </w:rPr>
        <w:t>مقدم العرض مسؤول عن نمذجة المحتوى وجرد الصفحات والترحيل والتنسيق والإدخال ثنائي اللغة والبيانات الوصفية وتحسين الصور وخرائط إعادة التوجيه وفحوص الجودة للحجم المذكور في عرضه التجاري. ويجب تحديد كمية كل صفحة ونموذج ونسخة لغوية ونوع محتوى واستثناء ترحيل مفترض. ويكون السداد النهائي مشروطًا بتسليم وصول المسؤول والشيفرة المصدرية والمستودعات وملفات التصميم وبيانات الاعتماد وتعليمات النشر والتراخيص وتصدير البيانات والتحقق منها.</w:t>
      </w:r>
    </w:p>
    <w:p>
      <w:pPr>
        <w:spacing w:before="360" w:after="120"/>
        <w:jc w:val="right"/>
        <w:bidi w:val="1"/>
      </w:pPr>
      <w:r>
        <w:rPr>
          <w:rFonts w:ascii="Arial" w:hAnsi="Arial"/>
          <w:b/>
          <w:i w:val="0"/>
          <w:color w:val="13283F"/>
          <w:sz w:val="34"/>
          <w:rtl w:val="1"/>
          <w:rFonts w:cs="Arial"/>
        </w:rPr>
        <w:t>الملحق (ج) — العلاقات العامة والإعلام وعمليات الإطلاق</w:t>
      </w:r>
    </w:p>
    <w:p>
      <w:pPr>
        <w:spacing w:before="220" w:after="80"/>
        <w:jc w:val="right"/>
        <w:bidi w:val="1"/>
      </w:pPr>
      <w:r>
        <w:rPr>
          <w:rFonts w:ascii="Arial" w:hAnsi="Arial"/>
          <w:b/>
          <w:i w:val="0"/>
          <w:color w:val="13283F"/>
          <w:sz w:val="23"/>
          <w:rtl w:val="1"/>
          <w:rFonts w:cs="Arial"/>
        </w:rPr>
        <w:t>ج١ — تخطيط الاتصال</w:t>
      </w:r>
    </w:p>
    <w:p>
      <w:pPr>
        <w:spacing w:before="0" w:after="100"/>
        <w:jc w:val="both"/>
        <w:bidi w:val="1"/>
      </w:pPr>
      <w:r>
        <w:rPr>
          <w:rFonts w:ascii="Arial" w:hAnsi="Arial"/>
          <w:b w:val="0"/>
          <w:i w:val="0"/>
          <w:color w:val="13283F"/>
          <w:sz w:val="18"/>
          <w:rtl w:val="1"/>
          <w:rFonts w:cs="Arial"/>
        </w:rPr>
        <w:t>يجب أن تربط الخطة السنوية نشاط الاتصال بالمحطات التجارية الفعلية. وأن توضح الجمهور المستهدف والرسالة المعتمدة والأدلة والمتحدث والقناة والتوقيت والتبعية والمخاطر ودعوة الإجراء والنتيجة القابلة للقياس لكل مبادرة. ويجب أن تشمل الخطة المجموعة والشركات التشغيلية الخمس دون إلزام كل كيان بالتواصل شهريًا.</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طبقة التخطيط</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التفاصيل المطلوبة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السرد السنوي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أربع إلى ست أولويات سردية مرتبطة بخطة ثرا التشغيلية المعتمدة وتوجه ٢٠٣١.</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الحملات الربع سنوية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الهدف التجاري، والجمهور، والعرض، والإثبات، والمنصة الإبداعية، والقنوات، والتحويل، والتقييم.</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مسار الإعلانات</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الإطلاق، ومحطات الكيانات، والدفعات، والشراكات، والاستثمارات، والتعيينات، والفعاليات، ونتائج الأثر، مصنّفة حسب جاهزية الاعتماد.</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البرنامج الإعلامي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الصحفيون والمنافذ ذات الأولوية، وأهداف العلاقة، وزوايا القصص، والإحاطات، والانفرادات، والمحتوى المساهَم به، وإدارة الاستجابة.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برنامج القيادات</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تموضع المتحدثين، وفرص التحدث، والتدريب الإعلامي، والقيادة الفكرية، ومحتوى لينكد إن، مع احترام البروتوكول.</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خطة المخاطر</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القضايا المحتملة، والمحفزات، ومصطلحات الرصد، والمسؤولون، والتصعيد، والمواد التمهيدية، ونهج التعافي.</w:t>
            </w:r>
          </w:p>
        </w:tc>
      </w:tr>
    </w:tbl>
    <w:p>
      <w:pPr>
        <w:spacing w:after="80"/>
      </w:pPr>
    </w:p>
    <w:p>
      <w:pPr>
        <w:spacing w:before="220" w:after="80"/>
        <w:jc w:val="right"/>
        <w:bidi w:val="1"/>
      </w:pPr>
      <w:r>
        <w:rPr>
          <w:rFonts w:ascii="Arial" w:hAnsi="Arial"/>
          <w:b/>
          <w:i w:val="0"/>
          <w:color w:val="13283F"/>
          <w:sz w:val="23"/>
          <w:rtl w:val="1"/>
          <w:rFonts w:cs="Arial"/>
        </w:rPr>
        <w:t>ج٢ — مستويات خدمة المكتب الصحفي</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النشاط</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الحد الأدنى لمعيار الخدمة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الرصد الإعلامي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رصد يومي في أيام العمل بالعربية والإنجليزية؛ وتنبيه فوري لأي تغطية سلبية أو غير دقيقة جوهرية.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الاستفسار الإعلامي الاعتيادي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الإقرار خلال ٦٠ دقيقة ضمن ساعات الخدمة؛ وتأكيد مسار الرد خلال ساعتين؛ ودون رد جوهري بلا اعتماد.</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القضية العاجلة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تصعيد هاتفي وخطي فوري إلى جهات الاتصال المرشحة؛ وأول ملخص للوضع خلال ٣٠ دقيقة حيثما توفرت المعلومات.</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المواد الصحفية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صياغة أصلية بالعربية والإنجليزية، والتحقق من الحقائق، والاعتمادات، وخطة التوزيع، والعرض الموجّه، والمتابعة، وتقرير التغطية.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التقرير الإعلامي الشهري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جودة التغطية، ونفاذ الرسالة، واستخدام المتحدثين، وأوجه عدم الدقة، وملاءمة الجمهور، والفرص، والمخاطر، والإجراءات؛ دون الاعتماد على القيمة الإعلانية المكافئة كمقياس أساسي.</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المراجعة الربع سنوية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أداء السرد، وتغذية أصحاب المصلحة الراجعة، وحصة الصوت ذات الصلة، ومخاطر السمعة، وقرارات الربع التالي.</w:t>
            </w:r>
          </w:p>
        </w:tc>
      </w:tr>
    </w:tbl>
    <w:p>
      <w:pPr>
        <w:spacing w:after="80"/>
      </w:pPr>
    </w:p>
    <w:p>
      <w:pPr>
        <w:spacing w:before="220" w:after="80"/>
        <w:jc w:val="right"/>
        <w:bidi w:val="1"/>
      </w:pPr>
      <w:r>
        <w:rPr>
          <w:rFonts w:ascii="Arial" w:hAnsi="Arial"/>
          <w:b/>
          <w:i w:val="0"/>
          <w:color w:val="13283F"/>
          <w:sz w:val="23"/>
          <w:rtl w:val="1"/>
          <w:rFonts w:cs="Arial"/>
        </w:rPr>
        <w:t>ج٣ — برنامج الإطلاق</w:t>
      </w:r>
    </w:p>
    <w:p>
      <w:pPr>
        <w:spacing w:before="0" w:after="100"/>
        <w:jc w:val="both"/>
        <w:bidi w:val="1"/>
      </w:pPr>
      <w:r>
        <w:rPr>
          <w:rFonts w:ascii="Arial" w:hAnsi="Arial"/>
          <w:b w:val="0"/>
          <w:i w:val="0"/>
          <w:color w:val="13283F"/>
          <w:sz w:val="18"/>
          <w:rtl w:val="1"/>
          <w:rFonts w:cs="Arial"/>
        </w:rPr>
        <w:t>يجب أن يقدّم الإطلاق ثرا كمنظومة تشغيلية وأن يخلق خطوات تالية مؤهلة. وعلى الوكالة تصميم رحلة الاتصال الكاملة قبل الإطلاق وأثناءه وبعده، بالتنسيق مع إنتاج الفعالية والبروتوكول والقيادة وعمليات البرامج والجاهزية الرقمية.</w:t>
      </w:r>
    </w:p>
    <w:tbl>
      <w:tblPr>
        <w:tblStyle w:val="TableGrid"/>
        <w:tblW w:type="auto" w:w="0"/>
        <w:jc w:val="center"/>
        <w:tblLayout w:type="fixed"/>
        <w:tblLook w:firstColumn="1" w:firstRow="1" w:lastColumn="0" w:lastRow="0" w:noHBand="0" w:noVBand="1" w:val="04A0"/>
        <w:bidiVisual/>
      </w:tblPr>
      <w:tblGrid>
        <w:gridCol w:w="2217"/>
        <w:gridCol w:w="7761"/>
      </w:tblGrid>
      <w:tr>
        <w:tc>
          <w:tcPr>
            <w:tcW w:type="dxa" w:w="2217"/>
            <w:shd w:val="clear" w:fill="13283F"/>
          </w:tcPr>
          <w:p>
            <w:pPr>
              <w:spacing w:after="20"/>
              <w:jc w:val="both"/>
              <w:bidi w:val="1"/>
            </w:pPr>
            <w:r>
              <w:rPr>
                <w:rtl w:val="1"/>
                <w:rFonts w:cs="Arial"/>
              </w:rPr>
            </w:r>
            <w:r>
              <w:rPr>
                <w:rFonts w:ascii="Arial" w:hAnsi="Arial"/>
                <w:b/>
                <w:color w:val="FFFFFF"/>
                <w:sz w:val="17"/>
                <w:rtl w:val="1"/>
                <w:rFonts w:cs="Arial"/>
              </w:rPr>
              <w:t>المرحلة</w:t>
            </w:r>
          </w:p>
        </w:tc>
        <w:tc>
          <w:tcPr>
            <w:tcW w:type="dxa" w:w="7761"/>
            <w:shd w:val="clear" w:fill="13283F"/>
          </w:tcPr>
          <w:p>
            <w:pPr>
              <w:spacing w:after="20"/>
              <w:jc w:val="both"/>
              <w:bidi w:val="1"/>
            </w:pPr>
            <w:r>
              <w:rPr>
                <w:rtl w:val="1"/>
                <w:rFonts w:cs="Arial"/>
              </w:rPr>
            </w:r>
            <w:r>
              <w:rPr>
                <w:rFonts w:ascii="Arial" w:hAnsi="Arial"/>
                <w:b/>
                <w:color w:val="FFFFFF"/>
                <w:sz w:val="17"/>
                <w:rtl w:val="1"/>
                <w:rFonts w:cs="Arial"/>
              </w:rPr>
              <w:t>الحد الأدنى من المتطلبات</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ما قبل الإطلاق</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خريطة أصحاب المصلحة؛ ورحلة حجز الموعد والدعوة؛ وخطة تشويق منضبطة؛ وإحاطة إعلامية؛ وإعداد المتحدثين؛ والأسئلة الشائعة؛ وفحوص الأدلة؛ وبنك المحتوى؛ وسيناريوهات الأزمات؛ والتسجيل وجمع البيانات.</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يوم الإطلاق</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تسلسل الاتصالات؛ والمركز الصحفي؛ والمواد بالعربية والإنجليزية؛ والكلمات ونقاط الحديث؛ والمحتوى المباشر؛ والتصوير/الفيديو المعتمد؛ والتعامل الإعلامي؛ والرصد؛ والاعتمادات السريعة وتصعيد القضايا.</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ما بعد الإطلاق</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أصول اليوم ذاته؛ ومتابعة البيان والمقابلات؛ وتحويل الحضور ومقدمي الطلبات؛ وتصحيح التغطية؛ والفيلم الموجز؛ واتصالات أصحاب المصلحة؛ وتقرير نتائج بعد سبعة أيام ومراجعة تحويل بعد ٣٠ يومًا.</w:t>
            </w:r>
          </w:p>
        </w:tc>
      </w:tr>
    </w:tbl>
    <w:p>
      <w:pPr>
        <w:spacing w:after="80"/>
      </w:pPr>
    </w:p>
    <w:p>
      <w:pPr>
        <w:spacing w:before="220" w:after="80"/>
        <w:jc w:val="right"/>
        <w:bidi w:val="1"/>
      </w:pPr>
      <w:r>
        <w:rPr>
          <w:rFonts w:ascii="Arial" w:hAnsi="Arial"/>
          <w:b/>
          <w:i w:val="0"/>
          <w:color w:val="13283F"/>
          <w:sz w:val="23"/>
          <w:rtl w:val="1"/>
          <w:rFonts w:cs="Arial"/>
        </w:rPr>
        <w:t>ج٤ — قائمة أصول الإطلاق المطلوبة</w:t>
      </w:r>
    </w:p>
    <w:p>
      <w:pPr>
        <w:pStyle w:val="ListBullet"/>
        <w:spacing w:before="0" w:after="40"/>
        <w:jc w:val="both"/>
        <w:bidi w:val="1"/>
      </w:pPr>
      <w:r>
        <w:rPr>
          <w:rFonts w:ascii="Arial" w:hAnsi="Arial"/>
          <w:b w:val="0"/>
          <w:i w:val="0"/>
          <w:color w:val="13283F"/>
          <w:sz w:val="18"/>
          <w:rtl w:val="1"/>
          <w:rFonts w:cs="Arial"/>
        </w:rPr>
        <w:t>المفهوم الإبداعي الرئيسي وسطر الحملة ثنائي اللغة.</w:t>
      </w:r>
    </w:p>
    <w:p>
      <w:pPr>
        <w:pStyle w:val="ListBullet"/>
        <w:spacing w:before="0" w:after="40"/>
        <w:jc w:val="both"/>
        <w:bidi w:val="1"/>
      </w:pPr>
      <w:r>
        <w:rPr>
          <w:rFonts w:ascii="Arial" w:hAnsi="Arial"/>
          <w:b w:val="0"/>
          <w:i w:val="0"/>
          <w:color w:val="13283F"/>
          <w:sz w:val="18"/>
          <w:rtl w:val="1"/>
          <w:rFonts w:cs="Arial"/>
        </w:rPr>
        <w:t>الفيلم الرئيسي بنسختي ٦٠ و٣٠ ثانية، ونسخ عمودية مختصرة، ونسخ مترجمة ونظيفة، مع توثيق حقوق الموسيقى والمواهب.</w:t>
      </w:r>
    </w:p>
    <w:p>
      <w:pPr>
        <w:pStyle w:val="ListBullet"/>
        <w:spacing w:before="0" w:after="40"/>
        <w:jc w:val="both"/>
        <w:bidi w:val="1"/>
      </w:pPr>
      <w:r>
        <w:rPr>
          <w:rFonts w:ascii="Arial" w:hAnsi="Arial"/>
          <w:b w:val="0"/>
          <w:i w:val="0"/>
          <w:color w:val="13283F"/>
          <w:sz w:val="18"/>
          <w:rtl w:val="1"/>
          <w:rFonts w:cs="Arial"/>
        </w:rPr>
        <w:t>نظام المرئيات الرئيسية للتطبيقات الرقمية والخارجية والمطبوعة والمكانية وتطبيقات الشركاء.</w:t>
      </w:r>
    </w:p>
    <w:p>
      <w:pPr>
        <w:pStyle w:val="ListBullet"/>
        <w:spacing w:before="0" w:after="40"/>
        <w:jc w:val="both"/>
        <w:bidi w:val="1"/>
      </w:pPr>
      <w:r>
        <w:rPr>
          <w:rFonts w:ascii="Arial" w:hAnsi="Arial"/>
          <w:b w:val="0"/>
          <w:i w:val="0"/>
          <w:color w:val="13283F"/>
          <w:sz w:val="18"/>
          <w:rtl w:val="1"/>
          <w:rFonts w:cs="Arial"/>
        </w:rPr>
        <w:t>بيان صحفي بالعربية والإنجليزية، ومادة خلفية، وورقة حقائق، والسير الذاتية للقيادات، وأوصاف الكيانات، والأسئلة الشائعة، ومكتبة صور معتمدة، وقائمة التواصل الإعلامي.</w:t>
      </w:r>
    </w:p>
    <w:p>
      <w:pPr>
        <w:pStyle w:val="ListBullet"/>
        <w:spacing w:before="0" w:after="40"/>
        <w:jc w:val="both"/>
        <w:bidi w:val="1"/>
      </w:pPr>
      <w:r>
        <w:rPr>
          <w:rFonts w:ascii="Arial" w:hAnsi="Arial"/>
          <w:b w:val="0"/>
          <w:i w:val="0"/>
          <w:color w:val="13283F"/>
          <w:sz w:val="18"/>
          <w:rtl w:val="1"/>
          <w:rFonts w:cs="Arial"/>
        </w:rPr>
        <w:t>كلمات رئيس مجلس الإدارة والرئيس التنفيذي للمجموعة، ونقاط الحديث، والأسئلة المتوقعة، وإحاطات المقابلات، وبروفة الرسائل.</w:t>
      </w:r>
    </w:p>
    <w:p>
      <w:pPr>
        <w:pStyle w:val="ListBullet"/>
        <w:spacing w:before="0" w:after="40"/>
        <w:jc w:val="both"/>
        <w:bidi w:val="1"/>
      </w:pPr>
      <w:r>
        <w:rPr>
          <w:rFonts w:ascii="Arial" w:hAnsi="Arial"/>
          <w:b w:val="0"/>
          <w:i w:val="0"/>
          <w:color w:val="13283F"/>
          <w:sz w:val="18"/>
          <w:rtl w:val="1"/>
          <w:rFonts w:cs="Arial"/>
        </w:rPr>
        <w:t>اتصالات التسجيل والدعوة، وتسلسل التذكير، والتأكيد، ومعلومات المكان، وشكر ما بعد الفعالية، ودعوات الإجراء.</w:t>
      </w:r>
    </w:p>
    <w:p>
      <w:pPr>
        <w:pStyle w:val="ListBullet"/>
        <w:spacing w:before="0" w:after="40"/>
        <w:jc w:val="both"/>
        <w:bidi w:val="1"/>
      </w:pPr>
      <w:r>
        <w:rPr>
          <w:rFonts w:ascii="Arial" w:hAnsi="Arial"/>
          <w:b w:val="0"/>
          <w:i w:val="0"/>
          <w:color w:val="13283F"/>
          <w:sz w:val="18"/>
          <w:rtl w:val="1"/>
          <w:rFonts w:cs="Arial"/>
        </w:rPr>
        <w:t>قائمة اللقطات، وخطة المقابلات، وعملية التحرير في اليوم ذاته، وخطة التواصل المباشر، وغرفة الاعتماد، والمحتوى الاحتياطي.</w:t>
      </w:r>
    </w:p>
    <w:p>
      <w:pPr>
        <w:pStyle w:val="ListBullet"/>
        <w:spacing w:before="0" w:after="40"/>
        <w:jc w:val="both"/>
        <w:bidi w:val="1"/>
      </w:pPr>
      <w:r>
        <w:rPr>
          <w:rFonts w:ascii="Arial" w:hAnsi="Arial"/>
          <w:b w:val="0"/>
          <w:i w:val="0"/>
          <w:color w:val="13283F"/>
          <w:sz w:val="18"/>
          <w:rtl w:val="1"/>
          <w:rFonts w:cs="Arial"/>
        </w:rPr>
        <w:t>خطة قياس الإطلاق التي تغطي قبول الدعوات، وجودة الحضور، وجودة التغطية الإعلامية، والاستفسارات المؤهلة، والطلبات، وعملاء الشراكة/الاستثمار المحتملين، وإجراءات الموقع، وإدارة القضايا.</w:t>
      </w:r>
    </w:p>
    <w:p>
      <w:pPr>
        <w:spacing w:before="220" w:after="80"/>
        <w:jc w:val="right"/>
        <w:bidi w:val="1"/>
      </w:pPr>
      <w:r>
        <w:rPr>
          <w:rFonts w:ascii="Arial" w:hAnsi="Arial"/>
          <w:b/>
          <w:i w:val="0"/>
          <w:color w:val="13283F"/>
          <w:sz w:val="23"/>
          <w:rtl w:val="1"/>
          <w:rFonts w:cs="Arial"/>
        </w:rPr>
        <w:t>ج٥ — إدارة الأزمات والقضايا</w:t>
      </w:r>
    </w:p>
    <w:tbl>
      <w:tblPr>
        <w:tblStyle w:val="TableGrid"/>
        <w:tblW w:type="auto" w:w="0"/>
        <w:jc w:val="center"/>
        <w:tblLayout w:type="fixed"/>
        <w:tblLook w:firstColumn="1" w:firstRow="1" w:lastColumn="0" w:lastRow="0" w:noHBand="0" w:noVBand="1" w:val="04A0"/>
        <w:bidiVisual/>
      </w:tblPr>
      <w:tblGrid>
        <w:gridCol w:w="1995"/>
        <w:gridCol w:w="3991"/>
        <w:gridCol w:w="3991"/>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الدرجة</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المثال</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إجراء الوكالة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المستوى ١ — اعتيادي</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شكوى عادية، أو سؤال عن الخدمة، أو وسم خاطئ بسيط، أو نقد غير جوهري.</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التسجيل، والرد عبر المصفوفة المعتمدة، والإدراج في التقارير الدورية.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المستوى ٢ — مرتفع</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شكوى متكررة، أو معلومات مضللة تكتسب انتشارًا، أو قلق من شريك، أو نقد من مسؤول تنفيذي، أو استفسار من إعلام محلي.</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تنبيه المسؤول المرشح، والتحقيق، وإعداد خيارات الرد، وزيادة الرصد.</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المستوى ٣ — جوهري</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حساسية حكومية، أو ادعاء استثماري، أو حادث بيانات، أو ضرر لمستفيد، أو محتوى تمييزي، أو تغطية سلبية كبيرة.</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تصعيد فوري، ودعم غرفة عمليات، وبيان تمهيدي متحقق منه، وخريطة أصحاب مصلحة، ورصد مستمر. ولا نشر دون اعتماد تنفيذي.</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المستوى ٤ — حرج</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تهديد للثقة العامة، أو تعرض قانوني/تنظيمي، أو حدث سيبراني كبير، أو مسألة تتعلق بالسلامة، أو تصعيد وطني/دولي.</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تفعيل هيكل قيادة الأزمات، ودعم على مدار ٢٤ ساعة عند التوجيه، وسجل قرارات، ورد قانوني/بروتوكولي منسق، وخطة تعافٍ.</w:t>
            </w:r>
          </w:p>
        </w:tc>
      </w:tr>
    </w:tbl>
    <w:p>
      <w:pPr>
        <w:spacing w:after="80"/>
      </w:pPr>
    </w:p>
    <w:p>
      <w:pPr>
        <w:spacing w:before="360" w:after="120"/>
        <w:jc w:val="right"/>
        <w:bidi w:val="1"/>
      </w:pPr>
      <w:r>
        <w:rPr>
          <w:rFonts w:ascii="Arial" w:hAnsi="Arial"/>
          <w:b/>
          <w:i w:val="0"/>
          <w:color w:val="13283F"/>
          <w:sz w:val="34"/>
          <w:rtl w:val="1"/>
          <w:rFonts w:cs="Arial"/>
        </w:rPr>
        <w:t>الملحق (د) — وسائل التواصل الاجتماعي والمحتوى وإدارة المجتمع</w:t>
      </w:r>
    </w:p>
    <w:p>
      <w:pPr>
        <w:spacing w:before="220" w:after="80"/>
        <w:jc w:val="right"/>
        <w:bidi w:val="1"/>
      </w:pPr>
      <w:r>
        <w:rPr>
          <w:rFonts w:ascii="Arial" w:hAnsi="Arial"/>
          <w:b/>
          <w:i w:val="0"/>
          <w:color w:val="13283F"/>
          <w:sz w:val="23"/>
          <w:rtl w:val="1"/>
          <w:rFonts w:cs="Arial"/>
        </w:rPr>
        <w:t>د١ — هيكل القنوات</w:t>
      </w:r>
    </w:p>
    <w:p>
      <w:pPr>
        <w:spacing w:before="0" w:after="100"/>
        <w:jc w:val="both"/>
        <w:bidi w:val="1"/>
      </w:pPr>
      <w:r>
        <w:rPr>
          <w:rFonts w:ascii="Arial" w:hAnsi="Arial"/>
          <w:b w:val="0"/>
          <w:i w:val="0"/>
          <w:color w:val="13283F"/>
          <w:sz w:val="18"/>
          <w:rtl w:val="1"/>
          <w:rFonts w:cs="Arial"/>
        </w:rPr>
        <w:t>على الوكالة إنشاء وإدارة حسابات تواصل اجتماعي منفصلة ومخصصة لثرا القابضة ولكل من الشركات التشغيلية الخمس عبر لينكد إن وإنستغرام وإكس ويوتيوب وتيك توك. ويجب أن يحدد نموذج الحوكمة دور كل حساب، ويمنع النشر المتبادل المتكرر، ويحمي الجودة، ويوضح كيفية تكامل محتوى العلامة الأم والكيانات. ويتطلب كل حساب خطة تحريرية هادفة ومحتوى كافيًا للبقاء نشطًا.</w:t>
      </w:r>
    </w:p>
    <w:tbl>
      <w:tblPr>
        <w:tblStyle w:val="TableGrid"/>
        <w:tblW w:type="auto" w:w="0"/>
        <w:jc w:val="center"/>
        <w:tblLayout w:type="fixed"/>
        <w:tblLook w:firstColumn="1" w:firstRow="1" w:lastColumn="0" w:lastRow="0" w:noHBand="0" w:noVBand="1" w:val="04A0"/>
        <w:bidiVisual/>
      </w:tblPr>
      <w:tblGrid>
        <w:gridCol w:w="1995"/>
        <w:gridCol w:w="4435"/>
        <w:gridCol w:w="3548"/>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المنصة</w:t>
            </w:r>
          </w:p>
        </w:tc>
        <w:tc>
          <w:tcPr>
            <w:tcW w:type="dxa" w:w="4435"/>
            <w:shd w:val="clear" w:fill="13283F"/>
          </w:tcPr>
          <w:p>
            <w:pPr>
              <w:spacing w:after="20"/>
              <w:jc w:val="both"/>
              <w:bidi w:val="1"/>
            </w:pPr>
            <w:r>
              <w:rPr>
                <w:rtl w:val="1"/>
                <w:rFonts w:cs="Arial"/>
              </w:rPr>
            </w:r>
            <w:r>
              <w:rPr>
                <w:rFonts w:ascii="Arial" w:hAnsi="Arial"/>
                <w:b/>
                <w:color w:val="FFFFFF"/>
                <w:sz w:val="17"/>
                <w:rtl w:val="1"/>
                <w:rFonts w:cs="Arial"/>
              </w:rPr>
              <w:t>الدور الأساسي</w:t>
            </w:r>
          </w:p>
        </w:tc>
        <w:tc>
          <w:tcPr>
            <w:tcW w:type="dxa" w:w="3548"/>
            <w:shd w:val="clear" w:fill="13283F"/>
          </w:tcPr>
          <w:p>
            <w:pPr>
              <w:spacing w:after="20"/>
              <w:jc w:val="both"/>
              <w:bidi w:val="1"/>
            </w:pPr>
            <w:r>
              <w:rPr>
                <w:rtl w:val="1"/>
                <w:rFonts w:cs="Arial"/>
              </w:rPr>
            </w:r>
            <w:r>
              <w:rPr>
                <w:rFonts w:ascii="Arial" w:hAnsi="Arial"/>
                <w:b/>
                <w:color w:val="FFFFFF"/>
                <w:sz w:val="17"/>
                <w:rtl w:val="1"/>
                <w:rFonts w:cs="Arial"/>
              </w:rPr>
              <w:t>التركيز المتوقع</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لينكد إن</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المرجعية المؤسسية، وتطوير الأعمال، والاستثمار، والشراكات، وسمعة صاحب العمل، والقيادة الفكرية للتنفيذيين.</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حساب منفصل وخطة خاصة بكل كيان من الكيانات الستة.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إنستغرام</w:t>
            </w:r>
          </w:p>
        </w:tc>
        <w:tc>
          <w:tcPr>
            <w:tcW w:type="dxa" w:w="4435"/>
            <w:shd w:val="clear" w:fill="E9EDF1"/>
          </w:tcPr>
          <w:p>
            <w:pPr>
              <w:spacing w:after="20"/>
              <w:jc w:val="both"/>
              <w:bidi w:val="1"/>
            </w:pPr>
            <w:r>
              <w:rPr>
                <w:rtl w:val="1"/>
                <w:rFonts w:cs="Arial"/>
              </w:rPr>
            </w:r>
            <w:r>
              <w:rPr>
                <w:rFonts w:ascii="Arial" w:hAnsi="Arial"/>
                <w:color w:val="13283F"/>
                <w:sz w:val="17"/>
                <w:rtl w:val="1"/>
                <w:rFonts w:cs="Arial"/>
              </w:rPr>
              <w:t>قصص المؤسسين، والبرامج، والمساحات، والمجتمع، والفعاليات، والإثبات البصري.</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حساب منفصل وخطة خاصة بكل كيان من الكيانات الستة.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إكس</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الإعلانات، والمشاركة المؤسسية، والظهور الإعلامي، والتواصل اللحظي أثناء الفعاليات.</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حساب منفصل وخطة خاصة بكل كيان من الكيانات الستة.</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يوتيوب</w:t>
            </w:r>
          </w:p>
        </w:tc>
        <w:tc>
          <w:tcPr>
            <w:tcW w:type="dxa" w:w="4435"/>
            <w:shd w:val="clear" w:fill="E9EDF1"/>
          </w:tcPr>
          <w:p>
            <w:pPr>
              <w:spacing w:after="20"/>
              <w:jc w:val="both"/>
              <w:bidi w:val="1"/>
            </w:pPr>
            <w:r>
              <w:rPr>
                <w:rtl w:val="1"/>
                <w:rFonts w:cs="Arial"/>
              </w:rPr>
            </w:r>
            <w:r>
              <w:rPr>
                <w:rFonts w:ascii="Arial" w:hAnsi="Arial"/>
                <w:color w:val="13283F"/>
                <w:sz w:val="17"/>
                <w:rtl w:val="1"/>
                <w:rFonts w:cs="Arial"/>
              </w:rPr>
              <w:t>الأفلام الرئيسية، والمواد التفسيرية، والمقابلات، والتعلم البرامجي، وأبرز لحظات الفعاليات، والإثبات الطويل القابل للبحث.</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قناة منفصلة وخطة فيديو خاصة بكل كيان من الكيانات الستة.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تيك توك</w:t>
            </w:r>
          </w:p>
        </w:tc>
        <w:tc>
          <w:tcPr>
            <w:tcW w:type="dxa" w:w="4435"/>
            <w:shd w:val="clear" w:fill="F4F6F8"/>
          </w:tcPr>
          <w:p>
            <w:pPr>
              <w:spacing w:after="20"/>
              <w:jc w:val="both"/>
              <w:bidi w:val="1"/>
            </w:pPr>
            <w:r>
              <w:rPr>
                <w:rtl w:val="1"/>
                <w:rFonts w:cs="Arial"/>
              </w:rPr>
            </w:r>
            <w:r>
              <w:rPr>
                <w:rFonts w:ascii="Arial" w:hAnsi="Arial"/>
                <w:color w:val="13283F"/>
                <w:sz w:val="17"/>
                <w:rtl w:val="1"/>
                <w:rFonts w:cs="Arial"/>
              </w:rPr>
              <w:t>تثقيف المؤسسين، والفرص، وما وراء الكواليس، والمحتوى الريادي الميسّر.</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حساب منفصل وخطة خاصة بكل كيان من الكيانات الستة، دون مشاركة في الترندات بما يضر بالمصداقية.</w:t>
            </w:r>
          </w:p>
        </w:tc>
      </w:tr>
    </w:tbl>
    <w:p>
      <w:pPr>
        <w:spacing w:after="80"/>
      </w:pPr>
    </w:p>
    <w:p>
      <w:pPr>
        <w:spacing w:before="220" w:after="80"/>
        <w:jc w:val="right"/>
        <w:bidi w:val="1"/>
      </w:pPr>
      <w:r>
        <w:rPr>
          <w:rFonts w:ascii="Arial" w:hAnsi="Arial"/>
          <w:b/>
          <w:i w:val="0"/>
          <w:color w:val="13283F"/>
          <w:sz w:val="23"/>
          <w:rtl w:val="1"/>
          <w:rFonts w:cs="Arial"/>
        </w:rPr>
        <w:t>د٢ — النظام التحريري</w:t>
      </w:r>
    </w:p>
    <w:tbl>
      <w:tblPr>
        <w:tblStyle w:val="TableGrid"/>
        <w:tblW w:type="auto" w:w="0"/>
        <w:jc w:val="center"/>
        <w:tblLayout w:type="fixed"/>
        <w:tblLook w:firstColumn="1" w:firstRow="1" w:lastColumn="0" w:lastRow="0" w:noHBand="0" w:noVBand="1" w:val="04A0"/>
        <w:bidiVisual/>
      </w:tblPr>
      <w:tblGrid>
        <w:gridCol w:w="1995"/>
        <w:gridCol w:w="3991"/>
        <w:gridCol w:w="3991"/>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محور المحتوى</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الغرض</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مثال على الأدلة أو الإجراء</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ريادة الأعمال</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مساعدة المؤسسين على التحرك وإظهار رحلة المشروع.</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الطلبات، وإرشاد الموجّهين، وتقدم المؤسسين، ومحطات المنتج أو العملاء.</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الاستثمار</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شرح رأس المال المنضبط والجاهزية للاستثمار دون استقطاب أو ادعاءات مبالغ فيها.</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المعايير المعتمدة، والتثقيف، والصفقات المتحقق منها، ودعم المحفظة، ووجهات نظر المستثمرين.</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الذكاء الاصطناعي والتقنية</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إظهار الاستخدام العملي في الأعمال والابتكار العربي ذي الصلة.</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عروض توضيحية، وحالات استخدام للمؤسسين، ونتائج تشغيلية، وشروح الخبراء.</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الأثر</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إظهار المشاركة وإتاحة الوصول والمنفعة المجتمعية بشكل قابل للقياس.</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نتائج متحقق منها للشباب والنساء ومواطني الدولة والطلبة وأصحاب الهمم ومصفوت والمنامة.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اقتصاد عجمان</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ربط ثرا بنمو القطاع الخاص ومزايا عجمان.</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قصص الأعضاء، ورحلات دخول السوق، والوظائف، والشراكات، والنتائج التجارية المتحقق منها.</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نمو الأعمال</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تقديم معرفة مفيدة وإظهار قدرات إكسبيريَنس والمنظومة.</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أدلة عمل في التمويل والموارد البشرية والمبيعات وخدمة العملاء والتسويق والتشغيل.</w:t>
            </w:r>
          </w:p>
        </w:tc>
      </w:tr>
    </w:tbl>
    <w:p>
      <w:pPr>
        <w:spacing w:after="80"/>
      </w:pPr>
    </w:p>
    <w:p>
      <w:pPr>
        <w:spacing w:before="220" w:after="80"/>
        <w:jc w:val="right"/>
        <w:bidi w:val="1"/>
      </w:pPr>
      <w:r>
        <w:rPr>
          <w:rFonts w:ascii="Arial" w:hAnsi="Arial"/>
          <w:b/>
          <w:i w:val="0"/>
          <w:color w:val="13283F"/>
          <w:sz w:val="23"/>
          <w:rtl w:val="1"/>
          <w:rFonts w:cs="Arial"/>
        </w:rPr>
        <w:t>د٣ — معايير جودة المحتوى</w:t>
      </w:r>
    </w:p>
    <w:p>
      <w:pPr>
        <w:pStyle w:val="ListBullet"/>
        <w:spacing w:before="0" w:after="40"/>
        <w:jc w:val="both"/>
        <w:bidi w:val="1"/>
      </w:pPr>
      <w:r>
        <w:rPr>
          <w:rFonts w:ascii="Arial" w:hAnsi="Arial"/>
          <w:b w:val="0"/>
          <w:i w:val="0"/>
          <w:color w:val="13283F"/>
          <w:sz w:val="18"/>
          <w:rtl w:val="1"/>
          <w:rFonts w:cs="Arial"/>
        </w:rPr>
        <w:t>يجب أن يكون لكل عنصر محتوى هدف محدد وجمهور وكيان مالك ورسالة ومصدر أدلة ودعوة إجراء وصيغة ولغة وقناة ووسم قياس.</w:t>
      </w:r>
    </w:p>
    <w:p>
      <w:pPr>
        <w:pStyle w:val="ListBullet"/>
        <w:spacing w:before="0" w:after="40"/>
        <w:jc w:val="both"/>
        <w:bidi w:val="1"/>
      </w:pPr>
      <w:r>
        <w:rPr>
          <w:rFonts w:ascii="Arial" w:hAnsi="Arial"/>
          <w:b w:val="0"/>
          <w:i w:val="0"/>
          <w:color w:val="13283F"/>
          <w:sz w:val="18"/>
          <w:rtl w:val="1"/>
          <w:rFonts w:cs="Arial"/>
        </w:rPr>
        <w:t>يجب أن يكتب العربية متخصص تحريري عربي مؤهل من الناطقين بها. وأن تُقرأ الإنجليزية كنص احترافي أصلي. وتُرفض الترجمة الحرفية والمصطلحات المختلطة والأسماء غير المتسقة.</w:t>
      </w:r>
    </w:p>
    <w:p>
      <w:pPr>
        <w:pStyle w:val="ListBullet"/>
        <w:spacing w:before="0" w:after="40"/>
        <w:jc w:val="both"/>
        <w:bidi w:val="1"/>
      </w:pPr>
      <w:r>
        <w:rPr>
          <w:rFonts w:ascii="Arial" w:hAnsi="Arial"/>
          <w:b w:val="0"/>
          <w:i w:val="0"/>
          <w:color w:val="13283F"/>
          <w:sz w:val="18"/>
          <w:rtl w:val="1"/>
          <w:rFonts w:cs="Arial"/>
        </w:rPr>
        <w:t>يجب أن يتضمن الفيديو تأطيرًا مناسبًا للمنصة وصوتًا نقيًا وتصحيحًا لونيًا وعناوين معتمدة وترجمة عربية وإنجليزية عند الحاجة وموسيقى مرخّصة وتعليقات ميسّرة.</w:t>
      </w:r>
    </w:p>
    <w:p>
      <w:pPr>
        <w:pStyle w:val="ListBullet"/>
        <w:spacing w:before="0" w:after="40"/>
        <w:jc w:val="both"/>
        <w:bidi w:val="1"/>
      </w:pPr>
      <w:r>
        <w:rPr>
          <w:rFonts w:ascii="Arial" w:hAnsi="Arial"/>
          <w:b w:val="0"/>
          <w:i w:val="0"/>
          <w:color w:val="13283F"/>
          <w:sz w:val="18"/>
          <w:rtl w:val="1"/>
          <w:rFonts w:cs="Arial"/>
        </w:rPr>
        <w:t>يجب أن تكون الصور أصيلة وبموافقة وموسومة بشكل صحيح ومسلَّمة بنسخ عالية الدقة وأخرى مهيأة للويب بشكل منظم.</w:t>
      </w:r>
    </w:p>
    <w:p>
      <w:pPr>
        <w:pStyle w:val="ListBullet"/>
        <w:spacing w:before="0" w:after="40"/>
        <w:jc w:val="both"/>
        <w:bidi w:val="1"/>
      </w:pPr>
      <w:r>
        <w:rPr>
          <w:rFonts w:ascii="Arial" w:hAnsi="Arial"/>
          <w:b w:val="0"/>
          <w:i w:val="0"/>
          <w:color w:val="13283F"/>
          <w:sz w:val="18"/>
          <w:rtl w:val="1"/>
          <w:rFonts w:cs="Arial"/>
        </w:rPr>
        <w:t>يجب أن يمتثل التصميم الثابت والمتحرك للهوية النهائية وقواعد المساحة الآمنة وإتاحة الوصول ومواصفات المنصات.</w:t>
      </w:r>
    </w:p>
    <w:p>
      <w:pPr>
        <w:pStyle w:val="ListBullet"/>
        <w:spacing w:before="0" w:after="40"/>
        <w:jc w:val="both"/>
        <w:bidi w:val="1"/>
      </w:pPr>
      <w:r>
        <w:rPr>
          <w:rFonts w:ascii="Arial" w:hAnsi="Arial"/>
          <w:b w:val="0"/>
          <w:i w:val="0"/>
          <w:color w:val="13283F"/>
          <w:sz w:val="18"/>
          <w:rtl w:val="1"/>
          <w:rFonts w:cs="Arial"/>
        </w:rPr>
        <w:t>تتطلب قصص المؤسسين أو المستفيدين موافقة خطية وتحققًا من جميع النتائج ومبالغ الاستثمار وأعداد الوظائف وأسماء العملاء ومراجع الشراكات.</w:t>
      </w:r>
    </w:p>
    <w:p>
      <w:pPr>
        <w:pStyle w:val="ListBullet"/>
        <w:spacing w:before="0" w:after="40"/>
        <w:jc w:val="both"/>
        <w:bidi w:val="1"/>
      </w:pPr>
      <w:r>
        <w:rPr>
          <w:rFonts w:ascii="Arial" w:hAnsi="Arial"/>
          <w:b w:val="0"/>
          <w:i w:val="0"/>
          <w:color w:val="13283F"/>
          <w:sz w:val="18"/>
          <w:rtl w:val="1"/>
          <w:rFonts w:cs="Arial"/>
        </w:rPr>
        <w:t>يجب أن يتجنب المحتوى التأييد السياسي والفتاوى الدينية والمشورة المالية وضمان نتائج استثمارية ولغة الصناديق غير المرخّصة ونشر معلومات الصفقات السرية.</w:t>
      </w:r>
    </w:p>
    <w:p>
      <w:pPr>
        <w:pStyle w:val="ListBullet"/>
        <w:spacing w:before="0" w:after="40"/>
        <w:jc w:val="both"/>
        <w:bidi w:val="1"/>
      </w:pPr>
      <w:r>
        <w:rPr>
          <w:rFonts w:ascii="Arial" w:hAnsi="Arial"/>
          <w:b w:val="0"/>
          <w:i w:val="0"/>
          <w:color w:val="13283F"/>
          <w:sz w:val="18"/>
          <w:rtl w:val="1"/>
          <w:rFonts w:cs="Arial"/>
        </w:rPr>
        <w:t>على الوكالة الاحتفاظ ببنك محتوى دائم يكفي لمنع النشر المتأخر منخفض الجودة مع الحفاظ على الطاقة اللازمة للمحطات الجارية.</w:t>
      </w:r>
    </w:p>
    <w:p>
      <w:pPr>
        <w:spacing w:before="220" w:after="80"/>
        <w:jc w:val="right"/>
        <w:bidi w:val="1"/>
      </w:pPr>
      <w:r>
        <w:rPr>
          <w:rFonts w:ascii="Arial" w:hAnsi="Arial"/>
          <w:b/>
          <w:i w:val="0"/>
          <w:color w:val="13283F"/>
          <w:sz w:val="23"/>
          <w:rtl w:val="1"/>
          <w:rFonts w:cs="Arial"/>
        </w:rPr>
        <w:t>د٤ — دورة التخطيط والإنتاج الشهرية</w:t>
      </w:r>
    </w:p>
    <w:tbl>
      <w:tblPr>
        <w:tblStyle w:val="TableGrid"/>
        <w:tblW w:type="auto" w:w="0"/>
        <w:jc w:val="center"/>
        <w:tblLayout w:type="fixed"/>
        <w:tblLook w:firstColumn="1" w:firstRow="1" w:lastColumn="0" w:lastRow="0" w:noHBand="0" w:noVBand="1" w:val="04A0"/>
        <w:bidiVisual/>
      </w:tblPr>
      <w:tblGrid>
        <w:gridCol w:w="2882"/>
        <w:gridCol w:w="7096"/>
      </w:tblGrid>
      <w:tr>
        <w:tc>
          <w:tcPr>
            <w:tcW w:type="dxa" w:w="2883"/>
            <w:shd w:val="clear" w:fill="13283F"/>
          </w:tcPr>
          <w:p>
            <w:pPr>
              <w:spacing w:after="20"/>
              <w:jc w:val="both"/>
              <w:bidi w:val="1"/>
            </w:pPr>
            <w:r>
              <w:rPr>
                <w:rtl w:val="1"/>
                <w:rFonts w:cs="Arial"/>
              </w:rPr>
            </w:r>
            <w:r>
              <w:rPr>
                <w:rFonts w:ascii="Arial" w:hAnsi="Arial"/>
                <w:b/>
                <w:color w:val="FFFFFF"/>
                <w:sz w:val="17"/>
                <w:rtl w:val="1"/>
                <w:rFonts w:cs="Arial"/>
              </w:rPr>
              <w:t>التوقيت</w:t>
            </w:r>
          </w:p>
        </w:tc>
        <w:tc>
          <w:tcPr>
            <w:tcW w:type="dxa" w:w="7095"/>
            <w:shd w:val="clear" w:fill="13283F"/>
          </w:tcPr>
          <w:p>
            <w:pPr>
              <w:spacing w:after="20"/>
              <w:jc w:val="both"/>
              <w:bidi w:val="1"/>
            </w:pPr>
            <w:r>
              <w:rPr>
                <w:rtl w:val="1"/>
                <w:rFonts w:cs="Arial"/>
              </w:rPr>
            </w:r>
            <w:r>
              <w:rPr>
                <w:rFonts w:ascii="Arial" w:hAnsi="Arial"/>
                <w:b/>
                <w:color w:val="FFFFFF"/>
                <w:sz w:val="17"/>
                <w:rtl w:val="1"/>
                <w:rFonts w:cs="Arial"/>
              </w:rPr>
              <w:t>متطلب الوكالة</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٢٠ يوم عمل قبل الشهر</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تأكيد تقويم المحطات وأولويات الحملات واحتياجات الإنتاج والمقابلات والأدلة والتبعيات.</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١٥ يوم عمل قبل الشهر</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تقديم مسودة هيكل المحتوى مع الأهداف والصيغ والقنوات والدعم المدفوع وخطة الإنتاج.</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١٠ أيام عمل قبل الشهر</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تقديم التقويم الكامل ثنائي اللغة والدفعة الإنتاجية الأولى للمراجعة المجمّعة.</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٥ أيام عمل قبل الشهر</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معالجة الملاحظات وتقديم المحتوى النهائي المجدول والتعليقات والروابط والوسوم والخطة الإعلامية.</w:t>
            </w:r>
          </w:p>
        </w:tc>
      </w:tr>
      <w:tr>
        <w:tc>
          <w:tcPr>
            <w:tcW w:type="dxa" w:w="2883"/>
            <w:shd w:val="clear" w:fill="F4F6F8"/>
          </w:tcPr>
          <w:p>
            <w:pPr>
              <w:spacing w:after="20"/>
              <w:jc w:val="both"/>
              <w:bidi w:val="1"/>
            </w:pPr>
            <w:r>
              <w:rPr>
                <w:rtl w:val="1"/>
                <w:rFonts w:cs="Arial"/>
              </w:rPr>
            </w:r>
            <w:r>
              <w:rPr>
                <w:rFonts w:ascii="Arial" w:hAnsi="Arial"/>
                <w:b/>
                <w:color w:val="13283F"/>
                <w:sz w:val="17"/>
                <w:rtl w:val="1"/>
                <w:rFonts w:cs="Arial"/>
              </w:rPr>
              <w:t>خلال الشهر</w:t>
            </w:r>
          </w:p>
        </w:tc>
        <w:tc>
          <w:tcPr>
            <w:tcW w:type="dxa" w:w="7095"/>
            <w:shd w:val="clear" w:fill="F4F6F8"/>
          </w:tcPr>
          <w:p>
            <w:pPr>
              <w:spacing w:after="20"/>
              <w:jc w:val="both"/>
              <w:bidi w:val="1"/>
            </w:pPr>
            <w:r>
              <w:rPr>
                <w:rtl w:val="1"/>
                <w:rFonts w:cs="Arial"/>
              </w:rPr>
            </w:r>
            <w:r>
              <w:rPr>
                <w:rFonts w:ascii="Arial" w:hAnsi="Arial"/>
                <w:color w:val="13283F"/>
                <w:sz w:val="17"/>
                <w:rtl w:val="1"/>
                <w:rFonts w:cs="Arial"/>
              </w:rPr>
              <w:t>نشر المحتوى المعتمد، وإدارة المجتمعات، ورصد القضايا، وتغطية الفعاليات، وتحديث المتتبع الحي.</w:t>
            </w:r>
          </w:p>
        </w:tc>
      </w:tr>
      <w:tr>
        <w:tc>
          <w:tcPr>
            <w:tcW w:type="dxa" w:w="2883"/>
            <w:shd w:val="clear" w:fill="E9EDF1"/>
          </w:tcPr>
          <w:p>
            <w:pPr>
              <w:spacing w:after="20"/>
              <w:jc w:val="both"/>
              <w:bidi w:val="1"/>
            </w:pPr>
            <w:r>
              <w:rPr>
                <w:rtl w:val="1"/>
                <w:rFonts w:cs="Arial"/>
              </w:rPr>
            </w:r>
            <w:r>
              <w:rPr>
                <w:rFonts w:ascii="Arial" w:hAnsi="Arial"/>
                <w:b/>
                <w:color w:val="13283F"/>
                <w:sz w:val="17"/>
                <w:rtl w:val="1"/>
                <w:rFonts w:cs="Arial"/>
              </w:rPr>
              <w:t>خلال ٥ أيام عمل بعد الشهر</w:t>
            </w:r>
          </w:p>
        </w:tc>
        <w:tc>
          <w:tcPr>
            <w:tcW w:type="dxa" w:w="7095"/>
            <w:shd w:val="clear" w:fill="E9EDF1"/>
          </w:tcPr>
          <w:p>
            <w:pPr>
              <w:spacing w:after="20"/>
              <w:jc w:val="both"/>
              <w:bidi w:val="1"/>
            </w:pPr>
            <w:r>
              <w:rPr>
                <w:rtl w:val="1"/>
                <w:rFonts w:cs="Arial"/>
              </w:rPr>
            </w:r>
            <w:r>
              <w:rPr>
                <w:rFonts w:ascii="Arial" w:hAnsi="Arial"/>
                <w:color w:val="13283F"/>
                <w:sz w:val="17"/>
                <w:rtl w:val="1"/>
                <w:rFonts w:cs="Arial"/>
              </w:rPr>
              <w:t>تقديم تقرير الأداء والبيانات المصدرية وأرشيف الأصول والدروس المستفادة وتصحيحات الشهر التالي.</w:t>
            </w:r>
          </w:p>
        </w:tc>
      </w:tr>
    </w:tbl>
    <w:p>
      <w:pPr>
        <w:spacing w:after="80"/>
      </w:pPr>
    </w:p>
    <w:p>
      <w:pPr>
        <w:spacing w:before="220" w:after="80"/>
        <w:jc w:val="right"/>
        <w:bidi w:val="1"/>
      </w:pPr>
      <w:r>
        <w:rPr>
          <w:rFonts w:ascii="Arial" w:hAnsi="Arial"/>
          <w:b/>
          <w:i w:val="0"/>
          <w:color w:val="13283F"/>
          <w:sz w:val="23"/>
          <w:rtl w:val="1"/>
          <w:rFonts w:cs="Arial"/>
        </w:rPr>
        <w:t>د٥ — مصفوفة إدارة المجتمع</w:t>
      </w:r>
    </w:p>
    <w:tbl>
      <w:tblPr>
        <w:tblStyle w:val="TableGrid"/>
        <w:tblW w:type="auto" w:w="0"/>
        <w:jc w:val="center"/>
        <w:tblLayout w:type="fixed"/>
        <w:tblLook w:firstColumn="1" w:firstRow="1" w:lastColumn="0" w:lastRow="0" w:noHBand="0" w:noVBand="1" w:val="04A0"/>
        <w:bidiVisual/>
      </w:tblPr>
      <w:tblGrid>
        <w:gridCol w:w="2217"/>
        <w:gridCol w:w="4213"/>
        <w:gridCol w:w="3548"/>
      </w:tblGrid>
      <w:tr>
        <w:tc>
          <w:tcPr>
            <w:tcW w:type="dxa" w:w="2217"/>
            <w:shd w:val="clear" w:fill="13283F"/>
          </w:tcPr>
          <w:p>
            <w:pPr>
              <w:spacing w:after="20"/>
              <w:jc w:val="both"/>
              <w:bidi w:val="1"/>
            </w:pPr>
            <w:r>
              <w:rPr>
                <w:rtl w:val="1"/>
                <w:rFonts w:cs="Arial"/>
              </w:rPr>
            </w:r>
            <w:r>
              <w:rPr>
                <w:rFonts w:ascii="Arial" w:hAnsi="Arial"/>
                <w:b/>
                <w:color w:val="FFFFFF"/>
                <w:sz w:val="17"/>
                <w:rtl w:val="1"/>
                <w:rFonts w:cs="Arial"/>
              </w:rPr>
              <w:t>التفاعل</w:t>
            </w:r>
          </w:p>
        </w:tc>
        <w:tc>
          <w:tcPr>
            <w:tcW w:type="dxa" w:w="4213"/>
            <w:shd w:val="clear" w:fill="13283F"/>
          </w:tcPr>
          <w:p>
            <w:pPr>
              <w:spacing w:after="20"/>
              <w:jc w:val="both"/>
              <w:bidi w:val="1"/>
            </w:pPr>
            <w:r>
              <w:rPr>
                <w:rtl w:val="1"/>
                <w:rFonts w:cs="Arial"/>
              </w:rPr>
            </w:r>
            <w:r>
              <w:rPr>
                <w:rFonts w:ascii="Arial" w:hAnsi="Arial"/>
                <w:b/>
                <w:color w:val="FFFFFF"/>
                <w:sz w:val="17"/>
                <w:rtl w:val="1"/>
                <w:rFonts w:cs="Arial"/>
              </w:rPr>
              <w:t>قاعدة الاستجابة</w:t>
            </w:r>
          </w:p>
        </w:tc>
        <w:tc>
          <w:tcPr>
            <w:tcW w:type="dxa" w:w="3548"/>
            <w:shd w:val="clear" w:fill="13283F"/>
          </w:tcPr>
          <w:p>
            <w:pPr>
              <w:spacing w:after="20"/>
              <w:jc w:val="both"/>
              <w:bidi w:val="1"/>
            </w:pPr>
            <w:r>
              <w:rPr>
                <w:rtl w:val="1"/>
                <w:rFonts w:cs="Arial"/>
              </w:rPr>
            </w:r>
            <w:r>
              <w:rPr>
                <w:rFonts w:ascii="Arial" w:hAnsi="Arial"/>
                <w:b/>
                <w:color w:val="FFFFFF"/>
                <w:sz w:val="17"/>
                <w:rtl w:val="1"/>
                <w:rFonts w:cs="Arial"/>
              </w:rPr>
              <w:t>التصعيد</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معلومات عامة</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استخدام الرد المعتمد أو التوجيه إلى الصفحة/النموذج الصحيح.</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التصعيد إذا كانت المعلومة غير متاحة أو قد تنشئ التزامًا.</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حالة طلب أو خدمة</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الإقرار ونقل التفاصيل الشخصية إلى قناة خاصة معتمدة.</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التوجيه إلى المالك التشغيلي؛ ودون وعد بالقبول أو الاستثمار أو نتيجة الاستجابة.</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شكوى</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الإقرار المحدد، وتسجيل الوقائع، وتجنب إلقاء اللوم، وتقديم خطوة تالية معتمدة.</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رفع الشكاوى المتكررة أو الحساسة أو غير المحلولة.</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سؤال استثماري</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تقديم المعلومات العامة المعتمدة وإخلاءات المسؤولية فقط.</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التوجيه إلى جهة الاتصال المخوّلة في ثرا كابيتال؛ ودون تقديم مشورة أو مناقشة فرص سرية.</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إساءة أو تمييز أو تهديد</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توثيق الأدلة وتطبيق سياسة الإشراف.</w:t>
            </w:r>
          </w:p>
        </w:tc>
        <w:tc>
          <w:tcPr>
            <w:tcW w:type="dxa" w:w="3548"/>
            <w:shd w:val="clear" w:fill="F4F6F8"/>
          </w:tcPr>
          <w:p>
            <w:pPr>
              <w:spacing w:after="20"/>
              <w:jc w:val="both"/>
              <w:bidi w:val="1"/>
            </w:pPr>
            <w:r>
              <w:rPr>
                <w:rtl w:val="1"/>
                <w:rFonts w:cs="Arial"/>
              </w:rPr>
            </w:r>
            <w:r>
              <w:rPr>
                <w:rFonts w:ascii="Arial" w:hAnsi="Arial"/>
                <w:color w:val="13283F"/>
                <w:sz w:val="17"/>
                <w:rtl w:val="1"/>
                <w:rFonts w:cs="Arial"/>
              </w:rPr>
              <w:t>تصعيد فوري في حالات التهديد أو الكراهية أو السلامة أو المخاوف القانونية.</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تضليل أو انتحال</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حفظ الأدلة وتقييم الانتشار والمخاطر.</w:t>
            </w:r>
          </w:p>
        </w:tc>
        <w:tc>
          <w:tcPr>
            <w:tcW w:type="dxa" w:w="3548"/>
            <w:shd w:val="clear" w:fill="E9EDF1"/>
          </w:tcPr>
          <w:p>
            <w:pPr>
              <w:spacing w:after="20"/>
              <w:jc w:val="both"/>
              <w:bidi w:val="1"/>
            </w:pPr>
            <w:r>
              <w:rPr>
                <w:rtl w:val="1"/>
                <w:rFonts w:cs="Arial"/>
              </w:rPr>
            </w:r>
            <w:r>
              <w:rPr>
                <w:rFonts w:ascii="Arial" w:hAnsi="Arial"/>
                <w:color w:val="13283F"/>
                <w:sz w:val="17"/>
                <w:rtl w:val="1"/>
                <w:rFonts w:cs="Arial"/>
              </w:rPr>
              <w:t>التصعيد فورًا؛ وتنسيق التصحيح والإبلاغ للمنصة ورد أصحاب المصلحة.</w:t>
            </w:r>
          </w:p>
        </w:tc>
      </w:tr>
    </w:tbl>
    <w:p>
      <w:pPr>
        <w:spacing w:after="80"/>
      </w:pPr>
    </w:p>
    <w:p>
      <w:pPr>
        <w:spacing w:before="220" w:after="80"/>
        <w:jc w:val="right"/>
        <w:bidi w:val="1"/>
      </w:pPr>
      <w:r>
        <w:rPr>
          <w:rFonts w:ascii="Arial" w:hAnsi="Arial"/>
          <w:b/>
          <w:i w:val="0"/>
          <w:color w:val="13283F"/>
          <w:sz w:val="23"/>
          <w:rtl w:val="1"/>
          <w:rFonts w:cs="Arial"/>
        </w:rPr>
        <w:t>د٦ — افتراضات مستوى الخدمة التي يجب على مقدمي العروض بيانها</w:t>
      </w:r>
    </w:p>
    <w:p>
      <w:pPr>
        <w:pStyle w:val="ListBullet"/>
        <w:spacing w:before="0" w:after="40"/>
        <w:jc w:val="both"/>
        <w:bidi w:val="1"/>
      </w:pPr>
      <w:r>
        <w:rPr>
          <w:rFonts w:ascii="Arial" w:hAnsi="Arial"/>
          <w:b w:val="0"/>
          <w:i w:val="0"/>
          <w:color w:val="13283F"/>
          <w:sz w:val="18"/>
          <w:rtl w:val="1"/>
          <w:rFonts w:cs="Arial"/>
        </w:rPr>
        <w:t>ساعات الخدمة والتغطية اللغوية.</w:t>
      </w:r>
    </w:p>
    <w:p>
      <w:pPr>
        <w:pStyle w:val="ListBullet"/>
        <w:spacing w:before="0" w:after="40"/>
        <w:jc w:val="both"/>
        <w:bidi w:val="1"/>
      </w:pPr>
      <w:r>
        <w:rPr>
          <w:rFonts w:ascii="Arial" w:hAnsi="Arial"/>
          <w:b w:val="0"/>
          <w:i w:val="0"/>
          <w:color w:val="13283F"/>
          <w:sz w:val="18"/>
          <w:rtl w:val="1"/>
          <w:rFonts w:cs="Arial"/>
        </w:rPr>
        <w:t>أزمنة الاستجابة الأولى المستهدفة للتعليقات العامة والرسائل الخاصة والشكاوى والقضايا العاجلة.</w:t>
      </w:r>
    </w:p>
    <w:p>
      <w:pPr>
        <w:pStyle w:val="ListBullet"/>
        <w:spacing w:before="0" w:after="40"/>
        <w:jc w:val="both"/>
        <w:bidi w:val="1"/>
      </w:pPr>
      <w:r>
        <w:rPr>
          <w:rFonts w:ascii="Arial" w:hAnsi="Arial"/>
          <w:b w:val="0"/>
          <w:i w:val="0"/>
          <w:color w:val="13283F"/>
          <w:sz w:val="18"/>
          <w:rtl w:val="1"/>
          <w:rFonts w:cs="Arial"/>
        </w:rPr>
        <w:t>الطاقة الشهرية للمحتوى والإنتاج حسب الصيغة والكيان.</w:t>
      </w:r>
    </w:p>
    <w:p>
      <w:pPr>
        <w:pStyle w:val="ListBullet"/>
        <w:spacing w:before="0" w:after="40"/>
        <w:jc w:val="both"/>
        <w:bidi w:val="1"/>
      </w:pPr>
      <w:r>
        <w:rPr>
          <w:rFonts w:ascii="Arial" w:hAnsi="Arial"/>
          <w:b w:val="0"/>
          <w:i w:val="0"/>
          <w:color w:val="13283F"/>
          <w:sz w:val="18"/>
          <w:rtl w:val="1"/>
          <w:rFonts w:cs="Arial"/>
        </w:rPr>
        <w:t>عدد ومدة أيام الإنتاج وجولات التحرير وساعات تغطية الفعاليات وافتراضات السفر.</w:t>
      </w:r>
    </w:p>
    <w:p>
      <w:pPr>
        <w:pStyle w:val="ListBullet"/>
        <w:spacing w:before="0" w:after="40"/>
        <w:jc w:val="both"/>
        <w:bidi w:val="1"/>
      </w:pPr>
      <w:r>
        <w:rPr>
          <w:rFonts w:ascii="Arial" w:hAnsi="Arial"/>
          <w:b w:val="0"/>
          <w:i w:val="0"/>
          <w:color w:val="13283F"/>
          <w:sz w:val="18"/>
          <w:rtl w:val="1"/>
          <w:rFonts w:cs="Arial"/>
        </w:rPr>
        <w:t>ترتيبات نهاية الأسبوع والعطل الرسمية وما بعد ساعات العمل.</w:t>
      </w:r>
    </w:p>
    <w:p>
      <w:pPr>
        <w:pStyle w:val="ListBullet"/>
        <w:spacing w:before="0" w:after="40"/>
        <w:jc w:val="both"/>
        <w:bidi w:val="1"/>
      </w:pPr>
      <w:r>
        <w:rPr>
          <w:rFonts w:ascii="Arial" w:hAnsi="Arial"/>
          <w:b w:val="0"/>
          <w:i w:val="0"/>
          <w:color w:val="13283F"/>
          <w:sz w:val="18"/>
          <w:rtl w:val="1"/>
          <w:rFonts w:cs="Arial"/>
        </w:rPr>
        <w:t>أوقات إغلاق الاعتماد المسمّاة وأثر تأخر اعتمادات العميل.</w:t>
      </w:r>
    </w:p>
    <w:p>
      <w:pPr>
        <w:pStyle w:val="ListBullet"/>
        <w:spacing w:before="0" w:after="40"/>
        <w:jc w:val="both"/>
        <w:bidi w:val="1"/>
      </w:pPr>
      <w:r>
        <w:rPr>
          <w:rFonts w:ascii="Arial" w:hAnsi="Arial"/>
          <w:b w:val="0"/>
          <w:i w:val="0"/>
          <w:color w:val="13283F"/>
          <w:sz w:val="18"/>
          <w:rtl w:val="1"/>
          <w:rFonts w:cs="Arial"/>
        </w:rPr>
        <w:t>أساس رسوم إدارة الإعلانات المدفوعة، والحد الأدنى للإنفاق، وتواتر التحسين، وصلاحية الوصول للتقارير.</w:t>
      </w:r>
    </w:p>
    <w:p>
      <w:pPr>
        <w:pStyle w:val="ListBullet"/>
        <w:spacing w:before="0" w:after="40"/>
        <w:jc w:val="both"/>
        <w:bidi w:val="1"/>
      </w:pPr>
      <w:r>
        <w:rPr>
          <w:rFonts w:ascii="Arial" w:hAnsi="Arial"/>
          <w:b w:val="0"/>
          <w:i w:val="0"/>
          <w:color w:val="13283F"/>
          <w:sz w:val="18"/>
          <w:rtl w:val="1"/>
          <w:rFonts w:cs="Arial"/>
        </w:rPr>
        <w:t>الأرشفة، والاحتفاظ باللقطات الخام، وتواتر التسليم.</w:t>
      </w:r>
    </w:p>
    <w:p>
      <w:pPr>
        <w:spacing w:before="360" w:after="120"/>
        <w:jc w:val="right"/>
        <w:bidi w:val="1"/>
      </w:pPr>
      <w:r>
        <w:rPr>
          <w:rFonts w:ascii="Arial" w:hAnsi="Arial"/>
          <w:b/>
          <w:i w:val="0"/>
          <w:color w:val="13283F"/>
          <w:sz w:val="34"/>
          <w:rtl w:val="1"/>
          <w:rFonts w:cs="Arial"/>
        </w:rPr>
        <w:t>الملحق (هـ) — القياس والتقارير وحوكمة البيانات</w:t>
      </w:r>
    </w:p>
    <w:p>
      <w:pPr>
        <w:spacing w:before="220" w:after="80"/>
        <w:jc w:val="right"/>
        <w:bidi w:val="1"/>
      </w:pPr>
      <w:r>
        <w:rPr>
          <w:rFonts w:ascii="Arial" w:hAnsi="Arial"/>
          <w:b/>
          <w:i w:val="0"/>
          <w:color w:val="13283F"/>
          <w:sz w:val="23"/>
          <w:rtl w:val="1"/>
          <w:rFonts w:cs="Arial"/>
        </w:rPr>
        <w:t>هـ١ — مبدأ القياس</w:t>
      </w:r>
    </w:p>
    <w:p>
      <w:pPr>
        <w:spacing w:before="0" w:after="100"/>
        <w:jc w:val="both"/>
        <w:bidi w:val="1"/>
      </w:pPr>
      <w:r>
        <w:rPr>
          <w:rFonts w:ascii="Arial" w:hAnsi="Arial"/>
          <w:b w:val="0"/>
          <w:i w:val="0"/>
          <w:color w:val="13283F"/>
          <w:sz w:val="18"/>
          <w:rtl w:val="1"/>
          <w:rFonts w:cs="Arial"/>
        </w:rPr>
        <w:t>يجب أن يربط القياس نشاط الاتصال بسلوك الجمهور، وبالنتائج التجارية حيثما سمحت البيانات التشغيلية. والانتشار والانطباعات مقاييس تشخيصية لا دليل على الأثر الاقتصادي. ويجب أن تميّز التقارير بين المخرجات والاستجابة والتحويل والنتيجة المتحقق منها، وأن تفصح عن حدود الإسناد.</w:t>
      </w:r>
    </w:p>
    <w:tbl>
      <w:tblPr>
        <w:tblStyle w:val="TableGrid"/>
        <w:tblW w:type="auto" w:w="0"/>
        <w:jc w:val="center"/>
        <w:tblLayout w:type="fixed"/>
        <w:tblLook w:firstColumn="1" w:firstRow="1" w:lastColumn="0" w:lastRow="0" w:noHBand="0" w:noVBand="1" w:val="04A0"/>
        <w:bidiVisual/>
      </w:tblPr>
      <w:tblGrid>
        <w:gridCol w:w="1995"/>
        <w:gridCol w:w="3326"/>
        <w:gridCol w:w="4656"/>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المستوى</w:t>
            </w:r>
          </w:p>
        </w:tc>
        <w:tc>
          <w:tcPr>
            <w:tcW w:type="dxa" w:w="3326"/>
            <w:shd w:val="clear" w:fill="13283F"/>
          </w:tcPr>
          <w:p>
            <w:pPr>
              <w:spacing w:after="20"/>
              <w:jc w:val="both"/>
              <w:bidi w:val="1"/>
            </w:pPr>
            <w:r>
              <w:rPr>
                <w:rtl w:val="1"/>
                <w:rFonts w:cs="Arial"/>
              </w:rPr>
            </w:r>
            <w:r>
              <w:rPr>
                <w:rFonts w:ascii="Arial" w:hAnsi="Arial"/>
                <w:b/>
                <w:color w:val="FFFFFF"/>
                <w:sz w:val="17"/>
                <w:rtl w:val="1"/>
                <w:rFonts w:cs="Arial"/>
              </w:rPr>
              <w:t>السؤال المُجاب عنه</w:t>
            </w:r>
          </w:p>
        </w:tc>
        <w:tc>
          <w:tcPr>
            <w:tcW w:type="dxa" w:w="4656"/>
            <w:shd w:val="clear" w:fill="13283F"/>
          </w:tcPr>
          <w:p>
            <w:pPr>
              <w:spacing w:after="20"/>
              <w:jc w:val="both"/>
              <w:bidi w:val="1"/>
            </w:pPr>
            <w:r>
              <w:rPr>
                <w:rtl w:val="1"/>
                <w:rFonts w:cs="Arial"/>
              </w:rPr>
            </w:r>
            <w:r>
              <w:rPr>
                <w:rFonts w:ascii="Arial" w:hAnsi="Arial"/>
                <w:b/>
                <w:color w:val="FFFFFF"/>
                <w:sz w:val="17"/>
                <w:rtl w:val="1"/>
                <w:rFonts w:cs="Arial"/>
              </w:rPr>
              <w:t>مقاييس توضيحية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المخرجات</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ما الذي أُنتج ووُزّع؟</w:t>
            </w:r>
          </w:p>
        </w:tc>
        <w:tc>
          <w:tcPr>
            <w:tcW w:type="dxa" w:w="4656"/>
            <w:shd w:val="clear" w:fill="F4F6F8"/>
          </w:tcPr>
          <w:p>
            <w:pPr>
              <w:spacing w:after="20"/>
              <w:jc w:val="both"/>
              <w:bidi w:val="1"/>
            </w:pPr>
            <w:r>
              <w:rPr>
                <w:rtl w:val="1"/>
                <w:rFonts w:cs="Arial"/>
              </w:rPr>
            </w:r>
            <w:r>
              <w:rPr>
                <w:rFonts w:ascii="Arial" w:hAnsi="Arial"/>
                <w:color w:val="13283F"/>
                <w:sz w:val="17"/>
                <w:rtl w:val="1"/>
                <w:rFonts w:cs="Arial"/>
              </w:rPr>
              <w:t>المحتوى المعتمد، والبيانات، والحملات، والفعاليات، وحجم الإنتاج، والالتزام بمواعيد التسليم.</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الانتشار</w:t>
            </w:r>
          </w:p>
        </w:tc>
        <w:tc>
          <w:tcPr>
            <w:tcW w:type="dxa" w:w="3326"/>
            <w:shd w:val="clear" w:fill="E9EDF1"/>
          </w:tcPr>
          <w:p>
            <w:pPr>
              <w:spacing w:after="20"/>
              <w:jc w:val="both"/>
              <w:bidi w:val="1"/>
            </w:pPr>
            <w:r>
              <w:rPr>
                <w:rtl w:val="1"/>
                <w:rFonts w:cs="Arial"/>
              </w:rPr>
            </w:r>
            <w:r>
              <w:rPr>
                <w:rFonts w:ascii="Arial" w:hAnsi="Arial"/>
                <w:color w:val="13283F"/>
                <w:sz w:val="17"/>
                <w:rtl w:val="1"/>
                <w:rFonts w:cs="Arial"/>
              </w:rPr>
              <w:t>من أتيحت له فرصة الاطلاع؟</w:t>
            </w:r>
          </w:p>
        </w:tc>
        <w:tc>
          <w:tcPr>
            <w:tcW w:type="dxa" w:w="4656"/>
            <w:shd w:val="clear" w:fill="E9EDF1"/>
          </w:tcPr>
          <w:p>
            <w:pPr>
              <w:spacing w:after="20"/>
              <w:jc w:val="both"/>
              <w:bidi w:val="1"/>
            </w:pPr>
            <w:r>
              <w:rPr>
                <w:rtl w:val="1"/>
                <w:rFonts w:cs="Arial"/>
              </w:rPr>
            </w:r>
            <w:r>
              <w:rPr>
                <w:rFonts w:ascii="Arial" w:hAnsi="Arial"/>
                <w:color w:val="13283F"/>
                <w:sz w:val="17"/>
                <w:rtl w:val="1"/>
                <w:rFonts w:cs="Arial"/>
              </w:rPr>
              <w:t>الانتشار المؤهل، والجمهور الإعلامي ذو الصلة، ومشاهدات الفيديو، ومستخدمو الموقع، والتكرار.</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التفاعل</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هل استجاب الجمهور الصحيح بشكل ذي معنى؟</w:t>
            </w:r>
          </w:p>
        </w:tc>
        <w:tc>
          <w:tcPr>
            <w:tcW w:type="dxa" w:w="4656"/>
            <w:shd w:val="clear" w:fill="F4F6F8"/>
          </w:tcPr>
          <w:p>
            <w:pPr>
              <w:spacing w:after="20"/>
              <w:jc w:val="both"/>
              <w:bidi w:val="1"/>
            </w:pPr>
            <w:r>
              <w:rPr>
                <w:rtl w:val="1"/>
                <w:rFonts w:cs="Arial"/>
              </w:rPr>
            </w:r>
            <w:r>
              <w:rPr>
                <w:rFonts w:ascii="Arial" w:hAnsi="Arial"/>
                <w:color w:val="13283F"/>
                <w:sz w:val="17"/>
                <w:rtl w:val="1"/>
                <w:rFonts w:cs="Arial"/>
              </w:rPr>
              <w:t>الحفظ، والمشاركة، والتعليقات النوعية، والإكمال، وتنزيل الوثائق، والاستفسارات الإعلامية، والاهتمام بالفعاليات.</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التحويل</w:t>
            </w:r>
          </w:p>
        </w:tc>
        <w:tc>
          <w:tcPr>
            <w:tcW w:type="dxa" w:w="3326"/>
            <w:shd w:val="clear" w:fill="E9EDF1"/>
          </w:tcPr>
          <w:p>
            <w:pPr>
              <w:spacing w:after="20"/>
              <w:jc w:val="both"/>
              <w:bidi w:val="1"/>
            </w:pPr>
            <w:r>
              <w:rPr>
                <w:rtl w:val="1"/>
                <w:rFonts w:cs="Arial"/>
              </w:rPr>
            </w:r>
            <w:r>
              <w:rPr>
                <w:rFonts w:ascii="Arial" w:hAnsi="Arial"/>
                <w:color w:val="13283F"/>
                <w:sz w:val="17"/>
                <w:rtl w:val="1"/>
                <w:rFonts w:cs="Arial"/>
              </w:rPr>
              <w:t>هل اتخذ الجمهور الإجراء المقصود؟</w:t>
            </w:r>
          </w:p>
        </w:tc>
        <w:tc>
          <w:tcPr>
            <w:tcW w:type="dxa" w:w="4656"/>
            <w:shd w:val="clear" w:fill="E9EDF1"/>
          </w:tcPr>
          <w:p>
            <w:pPr>
              <w:spacing w:after="20"/>
              <w:jc w:val="both"/>
              <w:bidi w:val="1"/>
            </w:pPr>
            <w:r>
              <w:rPr>
                <w:rtl w:val="1"/>
                <w:rFonts w:cs="Arial"/>
              </w:rPr>
            </w:r>
            <w:r>
              <w:rPr>
                <w:rFonts w:ascii="Arial" w:hAnsi="Arial"/>
                <w:color w:val="13283F"/>
                <w:sz w:val="17"/>
                <w:rtl w:val="1"/>
                <w:rFonts w:cs="Arial"/>
              </w:rPr>
              <w:t>الطلبات، والعملاء المحتملون المؤهلون، والتسجيلات، واستفسارات الخدمة، وتواصل الشركاء أو المستثمرين، ومعدل التحويل.</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النتيجة</w:t>
            </w:r>
          </w:p>
        </w:tc>
        <w:tc>
          <w:tcPr>
            <w:tcW w:type="dxa" w:w="3326"/>
            <w:shd w:val="clear" w:fill="F4F6F8"/>
          </w:tcPr>
          <w:p>
            <w:pPr>
              <w:spacing w:after="20"/>
              <w:jc w:val="both"/>
              <w:bidi w:val="1"/>
            </w:pPr>
            <w:r>
              <w:rPr>
                <w:rtl w:val="1"/>
                <w:rFonts w:cs="Arial"/>
              </w:rPr>
            </w:r>
            <w:r>
              <w:rPr>
                <w:rFonts w:ascii="Arial" w:hAnsi="Arial"/>
                <w:color w:val="13283F"/>
                <w:sz w:val="17"/>
                <w:rtl w:val="1"/>
                <w:rFonts w:cs="Arial"/>
              </w:rPr>
              <w:t>هل أسهم النشاط في رسالة ثرا؟</w:t>
            </w:r>
          </w:p>
        </w:tc>
        <w:tc>
          <w:tcPr>
            <w:tcW w:type="dxa" w:w="4656"/>
            <w:shd w:val="clear" w:fill="F4F6F8"/>
          </w:tcPr>
          <w:p>
            <w:pPr>
              <w:spacing w:after="20"/>
              <w:jc w:val="both"/>
              <w:bidi w:val="1"/>
            </w:pPr>
            <w:r>
              <w:rPr>
                <w:rtl w:val="1"/>
                <w:rFonts w:cs="Arial"/>
              </w:rPr>
            </w:r>
            <w:r>
              <w:rPr>
                <w:rFonts w:ascii="Arial" w:hAnsi="Arial"/>
                <w:color w:val="13283F"/>
                <w:sz w:val="17"/>
                <w:rtl w:val="1"/>
                <w:rFonts w:cs="Arial"/>
              </w:rPr>
              <w:t>المشاريع المدعومة المتحقق منها، والوظائف، ونمو الإيرادات، ورأس المال الميسّر، والشراكات، ودخول السوق، والاستمرارية، ونتائج الشمول.</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الثقة والمخاطر</w:t>
            </w:r>
          </w:p>
        </w:tc>
        <w:tc>
          <w:tcPr>
            <w:tcW w:type="dxa" w:w="3326"/>
            <w:shd w:val="clear" w:fill="E9EDF1"/>
          </w:tcPr>
          <w:p>
            <w:pPr>
              <w:spacing w:after="20"/>
              <w:jc w:val="both"/>
              <w:bidi w:val="1"/>
            </w:pPr>
            <w:r>
              <w:rPr>
                <w:rtl w:val="1"/>
                <w:rFonts w:cs="Arial"/>
              </w:rPr>
            </w:r>
            <w:r>
              <w:rPr>
                <w:rFonts w:ascii="Arial" w:hAnsi="Arial"/>
                <w:color w:val="13283F"/>
                <w:sz w:val="17"/>
                <w:rtl w:val="1"/>
                <w:rFonts w:cs="Arial"/>
              </w:rPr>
              <w:t>هل تعززت السمعة وبقيت محمية؟</w:t>
            </w:r>
          </w:p>
        </w:tc>
        <w:tc>
          <w:tcPr>
            <w:tcW w:type="dxa" w:w="4656"/>
            <w:shd w:val="clear" w:fill="E9EDF1"/>
          </w:tcPr>
          <w:p>
            <w:pPr>
              <w:spacing w:after="20"/>
              <w:jc w:val="both"/>
              <w:bidi w:val="1"/>
            </w:pPr>
            <w:r>
              <w:rPr>
                <w:rtl w:val="1"/>
                <w:rFonts w:cs="Arial"/>
              </w:rPr>
            </w:r>
            <w:r>
              <w:rPr>
                <w:rFonts w:ascii="Arial" w:hAnsi="Arial"/>
                <w:color w:val="13283F"/>
                <w:sz w:val="17"/>
                <w:rtl w:val="1"/>
                <w:rFonts w:cs="Arial"/>
              </w:rPr>
              <w:t>دقة الرسالة، وجودة التغطية، وتغذية أصحاب المصلحة الراجعة، وحجم القضايا، وزمن الاستجابة، ومعدل التصحيح.</w:t>
            </w:r>
          </w:p>
        </w:tc>
      </w:tr>
    </w:tbl>
    <w:p>
      <w:pPr>
        <w:spacing w:after="80"/>
      </w:pPr>
    </w:p>
    <w:p>
      <w:pPr>
        <w:spacing w:before="220" w:after="80"/>
        <w:jc w:val="right"/>
        <w:bidi w:val="1"/>
      </w:pPr>
      <w:r>
        <w:rPr>
          <w:rFonts w:ascii="Arial" w:hAnsi="Arial"/>
          <w:b/>
          <w:i w:val="0"/>
          <w:color w:val="13283F"/>
          <w:sz w:val="23"/>
          <w:rtl w:val="1"/>
          <w:rFonts w:cs="Arial"/>
        </w:rPr>
        <w:t>هـ٢ — متطلبات قاموس مؤشرات الأداء</w:t>
      </w:r>
    </w:p>
    <w:p>
      <w:pPr>
        <w:spacing w:before="0" w:after="100"/>
        <w:jc w:val="both"/>
        <w:bidi w:val="1"/>
      </w:pPr>
      <w:r>
        <w:rPr>
          <w:rFonts w:ascii="Arial" w:hAnsi="Arial"/>
          <w:b w:val="0"/>
          <w:i w:val="0"/>
          <w:color w:val="13283F"/>
          <w:sz w:val="18"/>
          <w:rtl w:val="1"/>
          <w:rFonts w:cs="Arial"/>
        </w:rPr>
        <w:t>لكل مؤشر أداء، على الوكالة توثيق التعريف والغرض والمعادلة ومصدر البيانات والمالك وتواتر الجمع وفترة التقرير والتقسيم وحالة الهدف والقيود. ولا يجوز إعادة تسمية المقاييس بين التقارير أو دمجها عبر المنصات دون مذكرة مطابقة.</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مؤشر الأداء</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معيار التعريف</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الطلب المؤهل</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طلب مكتمل يستوفي الحد الأدنى من حقول أهلية البرنامج أو الخدمة؛ مع استبعاد المكرر والتجريبي.</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الاستفسار المؤهل</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استفسار يتضمن بيانات تواصل صحيحة وحاجة ذات صلة وموافقة، موجَّه إلى الكيان المسؤول؛ مع استبعاد الرسائل المزعجة وعروض الموردين.</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معدل التفاعل</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بيان البسط والمقام صراحةً؛ وعدم مقارنة مقاييس منصات مبنية على مقامات مختلفة دون توضيح.</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إكمال الفيديو</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الإبلاغ عن تعريف المنصة ونطاقات مدة الفيديو ومعدل الإكمال وحجم المشاهدات المؤهلة معًا.</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مؤشر جودة التغطية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استخدام عوامل شفافة مثل ملاءمة المنفذ والبروز ودقة الرسالة والمتحدث والرابط/الإجراء والانطباع؛ مع الإفصاح عن الأوزان.</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معدل التحويل</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الإجراءات المقصودة المكتملة مقسومة على الزيارات أو العملاء المحتملين المؤهلين المحددين؛ مع بيان نافذة الإسناد.</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تكلفة الإجراء المؤهل</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إجمالي التكلفة الإعلامية ذات الصلة مقسومة على الإجراءات المؤهلة المتحقق منها؛ مع استبعاد العملاء المحتملين غير المؤهلين المبلّغ عنهم من المنصات.</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حصة الصوت ذات الصلة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تغطية ثرا مقسومة على تغطية الفئة ذات الصلة المحددة باستخدام مجموعة منافذ وموضوعات معلنة؛ لا حجم الإشارات العام.</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مقياس النتيجة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يجب أن يأتي من مالك تشغيلي مخوّل، وأن يتضمن فترة تقرير، وأن يميّز بوضوح بين الهدف والفرص قيد الإنجاز والنتيجة المتحققة.</w:t>
            </w:r>
          </w:p>
        </w:tc>
      </w:tr>
    </w:tbl>
    <w:p>
      <w:pPr>
        <w:spacing w:after="80"/>
      </w:pPr>
    </w:p>
    <w:p>
      <w:pPr>
        <w:spacing w:before="220" w:after="80"/>
        <w:jc w:val="right"/>
        <w:bidi w:val="1"/>
      </w:pPr>
      <w:r>
        <w:rPr>
          <w:rFonts w:ascii="Arial" w:hAnsi="Arial"/>
          <w:b/>
          <w:i w:val="0"/>
          <w:color w:val="13283F"/>
          <w:sz w:val="23"/>
          <w:rtl w:val="1"/>
          <w:rFonts w:cs="Arial"/>
        </w:rPr>
        <w:t>هـ٣ — حزمة التقارير</w:t>
      </w:r>
    </w:p>
    <w:p>
      <w:pPr>
        <w:pStyle w:val="ListBullet"/>
        <w:spacing w:before="0" w:after="40"/>
        <w:jc w:val="both"/>
        <w:bidi w:val="1"/>
      </w:pPr>
      <w:r>
        <w:rPr>
          <w:rFonts w:ascii="Arial" w:hAnsi="Arial"/>
          <w:b w:val="0"/>
          <w:i w:val="0"/>
          <w:color w:val="13283F"/>
          <w:sz w:val="18"/>
          <w:rtl w:val="1"/>
          <w:rFonts w:cs="Arial"/>
        </w:rPr>
        <w:t>لوحة معلومات تنفيذية حية بمرشحات حسب الكيان والجمهور والحملة والقناة والنطاق الجغرافي وفترة التقرير.</w:t>
      </w:r>
    </w:p>
    <w:p>
      <w:pPr>
        <w:pStyle w:val="ListBullet"/>
        <w:spacing w:before="0" w:after="40"/>
        <w:jc w:val="both"/>
        <w:bidi w:val="1"/>
      </w:pPr>
      <w:r>
        <w:rPr>
          <w:rFonts w:ascii="Arial" w:hAnsi="Arial"/>
          <w:b w:val="0"/>
          <w:i w:val="0"/>
          <w:color w:val="13283F"/>
          <w:sz w:val="18"/>
          <w:rtl w:val="1"/>
          <w:rFonts w:cs="Arial"/>
        </w:rPr>
        <w:t>تقرير إداري شهري يبدأ بالقرارات والإجراءات التصحيحية، يليه النتائج والتفسير والمخاطر والملحق التفصيلي.</w:t>
      </w:r>
    </w:p>
    <w:p>
      <w:pPr>
        <w:pStyle w:val="ListBullet"/>
        <w:spacing w:before="0" w:after="40"/>
        <w:jc w:val="both"/>
        <w:bidi w:val="1"/>
      </w:pPr>
      <w:r>
        <w:rPr>
          <w:rFonts w:ascii="Arial" w:hAnsi="Arial"/>
          <w:b w:val="0"/>
          <w:i w:val="0"/>
          <w:color w:val="13283F"/>
          <w:sz w:val="18"/>
          <w:rtl w:val="1"/>
          <w:rFonts w:cs="Arial"/>
        </w:rPr>
        <w:t>مراجعة استراتيجية ربع سنوية تقارن الأداء بخط الأساس والهدف والفترة السابقة؛ وتشرح المحركات وتعيد توزيع الجهد أو الميزانية.</w:t>
      </w:r>
    </w:p>
    <w:p>
      <w:pPr>
        <w:pStyle w:val="ListBullet"/>
        <w:spacing w:before="0" w:after="40"/>
        <w:jc w:val="both"/>
        <w:bidi w:val="1"/>
      </w:pPr>
      <w:r>
        <w:rPr>
          <w:rFonts w:ascii="Arial" w:hAnsi="Arial"/>
          <w:b w:val="0"/>
          <w:i w:val="0"/>
          <w:color w:val="13283F"/>
          <w:sz w:val="18"/>
          <w:rtl w:val="1"/>
          <w:rFonts w:cs="Arial"/>
        </w:rPr>
        <w:t>تقارير الحملات والفعاليات خلال خمسة أيام عمل للأنشطة الاعتيادية وسبعة أيام للإطلاقات الكبرى.</w:t>
      </w:r>
    </w:p>
    <w:p>
      <w:pPr>
        <w:pStyle w:val="ListBullet"/>
        <w:spacing w:before="0" w:after="40"/>
        <w:jc w:val="both"/>
        <w:bidi w:val="1"/>
      </w:pPr>
      <w:r>
        <w:rPr>
          <w:rFonts w:ascii="Arial" w:hAnsi="Arial"/>
          <w:b w:val="0"/>
          <w:i w:val="0"/>
          <w:color w:val="13283F"/>
          <w:sz w:val="18"/>
          <w:rtl w:val="1"/>
          <w:rFonts w:cs="Arial"/>
        </w:rPr>
        <w:t>تصدير البيانات الخام وإعدادات الحملات والقوائم الإعلامية وروابط التغطية وسجل المحتوى ومطابقة التكاليف مع كل دورة تقارير.</w:t>
      </w:r>
    </w:p>
    <w:p>
      <w:pPr>
        <w:pStyle w:val="ListBullet"/>
        <w:spacing w:before="0" w:after="40"/>
        <w:jc w:val="both"/>
        <w:bidi w:val="1"/>
      </w:pPr>
      <w:r>
        <w:rPr>
          <w:rFonts w:ascii="Arial" w:hAnsi="Arial"/>
          <w:b w:val="0"/>
          <w:i w:val="0"/>
          <w:color w:val="13283F"/>
          <w:sz w:val="18"/>
          <w:rtl w:val="1"/>
          <w:rFonts w:cs="Arial"/>
        </w:rPr>
        <w:t>قسم لجودة البيانات يحدد التتبع المفقود وتغيرات المنصات والعملاء المحتملين المكررين وقيود الإسناد والبيانات التشغيلية المتأخرة وأي تعديلات يدوية.</w:t>
      </w:r>
    </w:p>
    <w:p>
      <w:pPr>
        <w:spacing w:before="220" w:after="80"/>
        <w:jc w:val="right"/>
        <w:bidi w:val="1"/>
      </w:pPr>
      <w:r>
        <w:rPr>
          <w:rFonts w:ascii="Arial" w:hAnsi="Arial"/>
          <w:b/>
          <w:i w:val="0"/>
          <w:color w:val="13283F"/>
          <w:sz w:val="23"/>
          <w:rtl w:val="1"/>
          <w:rFonts w:cs="Arial"/>
        </w:rPr>
        <w:t>هـ٤ — حوكمة البيانات</w:t>
      </w:r>
    </w:p>
    <w:p>
      <w:pPr>
        <w:pStyle w:val="ListBullet"/>
        <w:spacing w:before="0" w:after="40"/>
        <w:jc w:val="both"/>
        <w:bidi w:val="1"/>
      </w:pPr>
      <w:r>
        <w:rPr>
          <w:rFonts w:ascii="Arial" w:hAnsi="Arial"/>
          <w:b w:val="0"/>
          <w:i w:val="0"/>
          <w:color w:val="13283F"/>
          <w:sz w:val="18"/>
          <w:rtl w:val="1"/>
          <w:rFonts w:cs="Arial"/>
        </w:rPr>
        <w:t>تمتلك ثرا جميع بيانات الطرف الأول وحسابات المنصات والبكسلات والوسوم والجماهير والتقارير والتصنيفات المشتقة.</w:t>
      </w:r>
    </w:p>
    <w:p>
      <w:pPr>
        <w:pStyle w:val="ListBullet"/>
        <w:spacing w:before="0" w:after="40"/>
        <w:jc w:val="both"/>
        <w:bidi w:val="1"/>
      </w:pPr>
      <w:r>
        <w:rPr>
          <w:rFonts w:ascii="Arial" w:hAnsi="Arial"/>
          <w:b w:val="0"/>
          <w:i w:val="0"/>
          <w:color w:val="13283F"/>
          <w:sz w:val="18"/>
          <w:rtl w:val="1"/>
          <w:rFonts w:cs="Arial"/>
        </w:rPr>
        <w:t>الوصول قائم على الأدوار ومعتمد ويُلغى فورًا عند تغيّر الموظفين. ويُحظر تشارك بيانات الاعتماد الشخصية.</w:t>
      </w:r>
    </w:p>
    <w:p>
      <w:pPr>
        <w:pStyle w:val="ListBullet"/>
        <w:spacing w:before="0" w:after="40"/>
        <w:jc w:val="both"/>
        <w:bidi w:val="1"/>
      </w:pPr>
      <w:r>
        <w:rPr>
          <w:rFonts w:ascii="Arial" w:hAnsi="Arial"/>
          <w:b w:val="0"/>
          <w:i w:val="0"/>
          <w:color w:val="13283F"/>
          <w:sz w:val="18"/>
          <w:rtl w:val="1"/>
          <w:rFonts w:cs="Arial"/>
        </w:rPr>
        <w:t>تُجمع البيانات الشخصية لأغراض محددة فقط بإشعارات وموافقات معتمدة؛ ولا تُدرج البيانات الحساسة في ملفات المحتوى أو التقارير الاعتيادية.</w:t>
      </w:r>
    </w:p>
    <w:p>
      <w:pPr>
        <w:pStyle w:val="ListBullet"/>
        <w:spacing w:before="0" w:after="40"/>
        <w:jc w:val="both"/>
        <w:bidi w:val="1"/>
      </w:pPr>
      <w:r>
        <w:rPr>
          <w:rFonts w:ascii="Arial" w:hAnsi="Arial"/>
          <w:b w:val="0"/>
          <w:i w:val="0"/>
          <w:color w:val="13283F"/>
          <w:sz w:val="18"/>
          <w:rtl w:val="1"/>
          <w:rFonts w:cs="Arial"/>
        </w:rPr>
        <w:t>يجب ألا تكشف لوحات المعلومات معلومات تعريفية عن مقدمي الطلبات أو المؤسسين أو المستثمرين أو الموظفين أو المستفيدين خارج نطاق المستخدمين التشغيليين المخوّلين.</w:t>
      </w:r>
    </w:p>
    <w:p>
      <w:pPr>
        <w:pStyle w:val="ListBullet"/>
        <w:spacing w:before="0" w:after="40"/>
        <w:jc w:val="both"/>
        <w:bidi w:val="1"/>
      </w:pPr>
      <w:r>
        <w:rPr>
          <w:rFonts w:ascii="Arial" w:hAnsi="Arial"/>
          <w:b w:val="0"/>
          <w:i w:val="0"/>
          <w:color w:val="13283F"/>
          <w:sz w:val="18"/>
          <w:rtl w:val="1"/>
          <w:rFonts w:cs="Arial"/>
        </w:rPr>
        <w:t>على الوكالة الإبلاغ فورًا عن أي حادث مشتبه به يتعلق بالبيانات أو بيانات الاعتماد أو الحسابات، وحفظ الأدلة.</w:t>
      </w:r>
    </w:p>
    <w:p>
      <w:pPr>
        <w:pStyle w:val="ListBullet"/>
        <w:spacing w:before="0" w:after="40"/>
        <w:jc w:val="both"/>
        <w:bidi w:val="1"/>
      </w:pPr>
      <w:r>
        <w:rPr>
          <w:rFonts w:ascii="Arial" w:hAnsi="Arial"/>
          <w:b w:val="0"/>
          <w:i w:val="0"/>
          <w:color w:val="13283F"/>
          <w:sz w:val="18"/>
          <w:rtl w:val="1"/>
          <w:rFonts w:cs="Arial"/>
        </w:rPr>
        <w:t>عند انتهاء العقد، على الوكالة نقل جميع البيانات وصلاحيات الوصول، وإثبات حذف النسخ المحتفظ بها حيثما لزم، ودعم انتقال منظم.</w:t>
      </w:r>
    </w:p>
    <w:p>
      <w:pPr>
        <w:spacing w:before="360" w:after="120"/>
        <w:jc w:val="right"/>
        <w:bidi w:val="1"/>
      </w:pPr>
      <w:r>
        <w:rPr>
          <w:rFonts w:ascii="Arial" w:hAnsi="Arial"/>
          <w:b/>
          <w:i w:val="0"/>
          <w:color w:val="13283F"/>
          <w:sz w:val="34"/>
          <w:rtl w:val="1"/>
          <w:rFonts w:cs="Arial"/>
        </w:rPr>
        <w:t>الملحق (و) — الحوكمة والاعتماد وضوابط التنفيذ</w:t>
      </w:r>
    </w:p>
    <w:p>
      <w:pPr>
        <w:spacing w:before="220" w:after="80"/>
        <w:jc w:val="right"/>
        <w:bidi w:val="1"/>
      </w:pPr>
      <w:r>
        <w:rPr>
          <w:rFonts w:ascii="Arial" w:hAnsi="Arial"/>
          <w:b/>
          <w:i w:val="0"/>
          <w:color w:val="13283F"/>
          <w:sz w:val="23"/>
          <w:rtl w:val="1"/>
          <w:rFonts w:cs="Arial"/>
        </w:rPr>
        <w:t>و١ — نموذج الحوكمة</w:t>
      </w:r>
    </w:p>
    <w:p>
      <w:pPr>
        <w:spacing w:before="0" w:after="100"/>
        <w:jc w:val="both"/>
        <w:bidi w:val="1"/>
      </w:pPr>
      <w:r>
        <w:rPr>
          <w:rFonts w:ascii="Arial" w:hAnsi="Arial"/>
          <w:b w:val="0"/>
          <w:i w:val="0"/>
          <w:color w:val="13283F"/>
          <w:sz w:val="18"/>
          <w:rtl w:val="1"/>
          <w:rFonts w:cs="Arial"/>
        </w:rPr>
        <w:t>سيتم تأكيد هيكل الحوكمة النهائي عند التعبئة. وعلى مقدم العرض استخدام النموذج الأدنى التالي في عرضه وبيان أي افتراضات. ويُقصد بـ«الاعتماد» الاعتماد الموثق عبر النظام المتفق عليه؛ ولا يُعد السكوت اعتمادًا.</w:t>
      </w:r>
    </w:p>
    <w:tbl>
      <w:tblPr>
        <w:tblStyle w:val="TableGrid"/>
        <w:tblW w:type="auto" w:w="0"/>
        <w:jc w:val="center"/>
        <w:tblLayout w:type="fixed"/>
        <w:tblLook w:firstColumn="1" w:firstRow="1" w:lastColumn="0" w:lastRow="0" w:noHBand="0" w:noVBand="1" w:val="04A0"/>
        <w:bidiVisual/>
      </w:tblPr>
      <w:tblGrid>
        <w:gridCol w:w="3104"/>
        <w:gridCol w:w="6874"/>
      </w:tblGrid>
      <w:tr>
        <w:tc>
          <w:tcPr>
            <w:tcW w:type="dxa" w:w="3104"/>
            <w:shd w:val="clear" w:fill="13283F"/>
          </w:tcPr>
          <w:p>
            <w:pPr>
              <w:spacing w:after="20"/>
              <w:jc w:val="both"/>
              <w:bidi w:val="1"/>
            </w:pPr>
            <w:r>
              <w:rPr>
                <w:rtl w:val="1"/>
                <w:rFonts w:cs="Arial"/>
              </w:rPr>
            </w:r>
            <w:r>
              <w:rPr>
                <w:rFonts w:ascii="Arial" w:hAnsi="Arial"/>
                <w:b/>
                <w:color w:val="FFFFFF"/>
                <w:sz w:val="17"/>
                <w:rtl w:val="1"/>
                <w:rFonts w:cs="Arial"/>
              </w:rPr>
              <w:t>الدور</w:t>
            </w:r>
          </w:p>
        </w:tc>
        <w:tc>
          <w:tcPr>
            <w:tcW w:type="dxa" w:w="6874"/>
            <w:shd w:val="clear" w:fill="13283F"/>
          </w:tcPr>
          <w:p>
            <w:pPr>
              <w:spacing w:after="20"/>
              <w:jc w:val="both"/>
              <w:bidi w:val="1"/>
            </w:pPr>
            <w:r>
              <w:rPr>
                <w:rtl w:val="1"/>
                <w:rFonts w:cs="Arial"/>
              </w:rPr>
            </w:r>
            <w:r>
              <w:rPr>
                <w:rFonts w:ascii="Arial" w:hAnsi="Arial"/>
                <w:b/>
                <w:color w:val="FFFFFF"/>
                <w:sz w:val="17"/>
                <w:rtl w:val="1"/>
                <w:rFonts w:cs="Arial"/>
              </w:rPr>
              <w:t>المسؤولية الأساسية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الممثل المؤسسي</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يعتمد الشعارات الرسمية والادعاءات المؤسسية الكبرى والمسائل المحفوظة ضمن إطار الصلاحيات المتفق عليه.</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رئيس مجلس إدارة ثرا أو من يفوضه</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يعتمد السمعة الاستراتيجية واتصالات القيادة الحساسة بروتوكوليًا والمسائل المحفوظة للمجلس أو الرئيس.</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الرئيس التنفيذي لمجموعة ثرا</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الراعي التنفيذي؛ يعتمد الاستراتيجية والحملات الكبرى وتوجه الإطلاق ورسائل القيادات والقضايا الجوهرية ضمن صلاحياته.</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مالك العلامة والاتصال في ثرا</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الصلاحية اليومية تجاه العميل؛ يجمّع الملاحظات ويدير التقويم ويعتمد المخرجات الاعتيادية ضمن الصلاحية المفوضة ويضبط سجل الأدلة.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رئيس الكيان</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يؤكد الحقائق التشغيلية واحتياجات الجمهور والعروض والمحطات ودقة المحتوى المتخصص للكيان المعني.</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الشؤون القانونية والامتثال والمشتريات</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يراجع العقود والادعاءات المنظمة والخصوصية والملكية الفكرية وامتثال المشتريات والمخاطر القانونية عند الحاجة.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مدير حسابات الوكالة</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مسؤول عن التنفيذ والجودة والموارد والتصعيد والضبط المالي وتقارير الحالة الرسمية.</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رؤساء التخصصات في الوكالة</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يتولون جودة الاستراتيجية والإبداع والتحرير العربي/الإنجليزي والعلاقات العامة والرقمي والإنتاج والمجتمع والأداء والتقنية.</w:t>
            </w:r>
          </w:p>
        </w:tc>
      </w:tr>
    </w:tbl>
    <w:p>
      <w:pPr>
        <w:spacing w:after="80"/>
      </w:pPr>
    </w:p>
    <w:p>
      <w:pPr>
        <w:spacing w:before="220" w:after="80"/>
        <w:jc w:val="right"/>
        <w:bidi w:val="1"/>
      </w:pPr>
      <w:r>
        <w:rPr>
          <w:rFonts w:ascii="Arial" w:hAnsi="Arial"/>
          <w:b/>
          <w:i w:val="0"/>
          <w:color w:val="13283F"/>
          <w:sz w:val="23"/>
          <w:rtl w:val="1"/>
          <w:rFonts w:cs="Arial"/>
        </w:rPr>
        <w:t>و٢ — مصفوفة الاعتماد الإرشادية</w:t>
      </w:r>
    </w:p>
    <w:tbl>
      <w:tblPr>
        <w:tblStyle w:val="TableGrid"/>
        <w:tblW w:type="auto" w:w="0"/>
        <w:jc w:val="center"/>
        <w:tblLayout w:type="fixed"/>
        <w:tblLook w:firstColumn="1" w:firstRow="1" w:lastColumn="0" w:lastRow="0" w:noHBand="0" w:noVBand="1" w:val="04A0"/>
        <w:bidiVisual/>
      </w:tblPr>
      <w:tblGrid>
        <w:gridCol w:w="2661"/>
        <w:gridCol w:w="4213"/>
        <w:gridCol w:w="3104"/>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المخرج</w:t>
            </w:r>
          </w:p>
        </w:tc>
        <w:tc>
          <w:tcPr>
            <w:tcW w:type="dxa" w:w="4213"/>
            <w:shd w:val="clear" w:fill="13283F"/>
          </w:tcPr>
          <w:p>
            <w:pPr>
              <w:spacing w:after="20"/>
              <w:jc w:val="both"/>
              <w:bidi w:val="1"/>
            </w:pPr>
            <w:r>
              <w:rPr>
                <w:rtl w:val="1"/>
                <w:rFonts w:cs="Arial"/>
              </w:rPr>
            </w:r>
            <w:r>
              <w:rPr>
                <w:rFonts w:ascii="Arial" w:hAnsi="Arial"/>
                <w:b/>
                <w:color w:val="FFFFFF"/>
                <w:sz w:val="17"/>
                <w:rtl w:val="1"/>
                <w:rFonts w:cs="Arial"/>
              </w:rPr>
              <w:t>المراجعة التشغيلية</w:t>
            </w:r>
          </w:p>
        </w:tc>
        <w:tc>
          <w:tcPr>
            <w:tcW w:type="dxa" w:w="3104"/>
            <w:shd w:val="clear" w:fill="13283F"/>
          </w:tcPr>
          <w:p>
            <w:pPr>
              <w:spacing w:after="20"/>
              <w:jc w:val="both"/>
              <w:bidi w:val="1"/>
            </w:pPr>
            <w:r>
              <w:rPr>
                <w:rtl w:val="1"/>
                <w:rFonts w:cs="Arial"/>
              </w:rPr>
            </w:r>
            <w:r>
              <w:rPr>
                <w:rFonts w:ascii="Arial" w:hAnsi="Arial"/>
                <w:b/>
                <w:color w:val="FFFFFF"/>
                <w:sz w:val="17"/>
                <w:rtl w:val="1"/>
                <w:rFonts w:cs="Arial"/>
              </w:rPr>
              <w:t>الاعتماد النهائي</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استراتيجية العلامة والهيكل</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مالك العلامة، ورؤساء الكيانات، والممثل المؤسسي، والقانوني عند الحاجة</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الرئيس التنفيذي للمجموعة والجهة المخوّلة.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الهوية البصرية والدليل</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مالك العلامة، والرقمي، والمرافق، ورؤساء الكيانات</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الرئيس التنفيذي للمجموعة والجهة المخوّلة.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المحتوى الاجتماعي الاعتيادي</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مالك الحقائق في الكيان وفريق العلامة</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معتمد الاتصال المفوض في ثرا.</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بيان صحفي أو إعلان شراكة</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مالك الكيان، والعلامة، والقانوني/المشتريات، والشريك</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الرئيس التنفيذي للمجموعة أو تنفيذي مفوض.</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اتصال استثماري</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ثرا كابيتال، والعلامة، والقانوني/التنظيمي، ومالك الأدلة</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المعتمدون الاستثماريون والتنفيذيون المخوّلون فقط.</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اتصال رئيس المجلس أو المجلس</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البروتوكول، والعلامة، والمكتب التنفيذي المعني</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رئيس المجلس أو من يفوضه رسميًا.</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الاستجابة للأزمات</w:t>
            </w:r>
          </w:p>
        </w:tc>
        <w:tc>
          <w:tcPr>
            <w:tcW w:type="dxa" w:w="4213"/>
            <w:shd w:val="clear" w:fill="F4F6F8"/>
          </w:tcPr>
          <w:p>
            <w:pPr>
              <w:spacing w:after="20"/>
              <w:jc w:val="both"/>
              <w:bidi w:val="1"/>
            </w:pPr>
            <w:r>
              <w:rPr>
                <w:rtl w:val="1"/>
                <w:rFonts w:cs="Arial"/>
              </w:rPr>
            </w:r>
            <w:r>
              <w:rPr>
                <w:rFonts w:ascii="Arial" w:hAnsi="Arial"/>
                <w:color w:val="13283F"/>
                <w:sz w:val="17"/>
                <w:rtl w:val="1"/>
                <w:rFonts w:cs="Arial"/>
              </w:rPr>
              <w:t>مالك الحقائق، والعلامة، والقانوني، والأمن/الموارد البشرية/العمليات حسب الاقتضاء</w:t>
            </w:r>
          </w:p>
        </w:tc>
        <w:tc>
          <w:tcPr>
            <w:tcW w:type="dxa" w:w="3104"/>
            <w:shd w:val="clear" w:fill="F4F6F8"/>
          </w:tcPr>
          <w:p>
            <w:pPr>
              <w:spacing w:after="20"/>
              <w:jc w:val="both"/>
              <w:bidi w:val="1"/>
            </w:pPr>
            <w:r>
              <w:rPr>
                <w:rtl w:val="1"/>
                <w:rFonts w:cs="Arial"/>
              </w:rPr>
            </w:r>
            <w:r>
              <w:rPr>
                <w:rFonts w:ascii="Arial" w:hAnsi="Arial"/>
                <w:color w:val="13283F"/>
                <w:sz w:val="17"/>
                <w:rtl w:val="1"/>
                <w:rFonts w:cs="Arial"/>
              </w:rPr>
              <w:t>قائد الأزمة المعيّن وفق بروتوكول الدرجات.</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إطلاق الموقع</w:t>
            </w:r>
          </w:p>
        </w:tc>
        <w:tc>
          <w:tcPr>
            <w:tcW w:type="dxa" w:w="4213"/>
            <w:shd w:val="clear" w:fill="E9EDF1"/>
          </w:tcPr>
          <w:p>
            <w:pPr>
              <w:spacing w:after="20"/>
              <w:jc w:val="both"/>
              <w:bidi w:val="1"/>
            </w:pPr>
            <w:r>
              <w:rPr>
                <w:rtl w:val="1"/>
                <w:rFonts w:cs="Arial"/>
              </w:rPr>
            </w:r>
            <w:r>
              <w:rPr>
                <w:rFonts w:ascii="Arial" w:hAnsi="Arial"/>
                <w:color w:val="13283F"/>
                <w:sz w:val="17"/>
                <w:rtl w:val="1"/>
                <w:rFonts w:cs="Arial"/>
              </w:rPr>
              <w:t>العلامة، ومالكو الكيانات، وتقنية المعلومات/الأمن، والخصوصية، والتحليلات، والقانوني</w:t>
            </w:r>
          </w:p>
        </w:tc>
        <w:tc>
          <w:tcPr>
            <w:tcW w:type="dxa" w:w="3104"/>
            <w:shd w:val="clear" w:fill="E9EDF1"/>
          </w:tcPr>
          <w:p>
            <w:pPr>
              <w:spacing w:after="20"/>
              <w:jc w:val="both"/>
              <w:bidi w:val="1"/>
            </w:pPr>
            <w:r>
              <w:rPr>
                <w:rtl w:val="1"/>
                <w:rFonts w:cs="Arial"/>
              </w:rPr>
            </w:r>
            <w:r>
              <w:rPr>
                <w:rFonts w:ascii="Arial" w:hAnsi="Arial"/>
                <w:color w:val="13283F"/>
                <w:sz w:val="17"/>
                <w:rtl w:val="1"/>
                <w:rFonts w:cs="Arial"/>
              </w:rPr>
              <w:t>الرئيس التنفيذي للمجموعة أو جهة الإطلاق المفوضة.</w:t>
            </w:r>
          </w:p>
        </w:tc>
      </w:tr>
    </w:tbl>
    <w:p>
      <w:pPr>
        <w:spacing w:after="80"/>
      </w:pPr>
    </w:p>
    <w:p>
      <w:pPr>
        <w:spacing w:before="220" w:after="80"/>
        <w:jc w:val="right"/>
        <w:bidi w:val="1"/>
      </w:pPr>
      <w:r>
        <w:rPr>
          <w:rFonts w:ascii="Arial" w:hAnsi="Arial"/>
          <w:b/>
          <w:i w:val="0"/>
          <w:color w:val="13283F"/>
          <w:sz w:val="23"/>
          <w:rtl w:val="1"/>
          <w:rFonts w:cs="Arial"/>
        </w:rPr>
        <w:t>و٣ — سير عمل المخرجات</w:t>
      </w:r>
    </w:p>
    <w:tbl>
      <w:tblPr>
        <w:tblStyle w:val="TableGrid"/>
        <w:tblW w:type="auto" w:w="0"/>
        <w:jc w:val="center"/>
        <w:tblLayout w:type="fixed"/>
        <w:tblLook w:firstColumn="1" w:firstRow="1" w:lastColumn="0" w:lastRow="0" w:noHBand="0" w:noVBand="1" w:val="04A0"/>
        <w:bidiVisual/>
      </w:tblPr>
      <w:tblGrid>
        <w:gridCol w:w="2217"/>
        <w:gridCol w:w="7761"/>
      </w:tblGrid>
      <w:tr>
        <w:tc>
          <w:tcPr>
            <w:tcW w:type="dxa" w:w="2217"/>
            <w:shd w:val="clear" w:fill="13283F"/>
          </w:tcPr>
          <w:p>
            <w:pPr>
              <w:spacing w:after="20"/>
              <w:jc w:val="both"/>
              <w:bidi w:val="1"/>
            </w:pPr>
            <w:r>
              <w:rPr>
                <w:rtl w:val="1"/>
                <w:rFonts w:cs="Arial"/>
              </w:rPr>
            </w:r>
            <w:r>
              <w:rPr>
                <w:rFonts w:ascii="Arial" w:hAnsi="Arial"/>
                <w:b/>
                <w:color w:val="FFFFFF"/>
                <w:sz w:val="17"/>
                <w:rtl w:val="1"/>
                <w:rFonts w:cs="Arial"/>
              </w:rPr>
              <w:t>الخطوة</w:t>
            </w:r>
          </w:p>
        </w:tc>
        <w:tc>
          <w:tcPr>
            <w:tcW w:type="dxa" w:w="7761"/>
            <w:shd w:val="clear" w:fill="13283F"/>
          </w:tcPr>
          <w:p>
            <w:pPr>
              <w:spacing w:after="20"/>
              <w:jc w:val="both"/>
              <w:bidi w:val="1"/>
            </w:pPr>
            <w:r>
              <w:rPr>
                <w:rtl w:val="1"/>
                <w:rFonts w:cs="Arial"/>
              </w:rPr>
            </w:r>
            <w:r>
              <w:rPr>
                <w:rFonts w:ascii="Arial" w:hAnsi="Arial"/>
                <w:b/>
                <w:color w:val="FFFFFF"/>
                <w:sz w:val="17"/>
                <w:rtl w:val="1"/>
                <w:rFonts w:cs="Arial"/>
              </w:rPr>
              <w:t>الضابط</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الإحاطة</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لا يبدأ أي عمل دون هدف وجمهور ومخرج ومالك وأدلة وتوقيت وميزانية ومسار اعتماد.</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تطوير الوكالة</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يفحص مراجع أول مسمّى الاستراتيجية والحقائق والعربية والإنجليزية والتصميم والحقوق والمواصفات التقنية وإتاحة الوصول قبل التقديم.</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مراجعة العميل</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تقدّم الوكالة حزمة كاملة ومتسقة داخليًا؛ ويجمّع الملاحظات المالك المرشح من جانب العميل.</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التعديل</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تعالج الوكالة كل ملاحظة في سجل استجابة وتحدد أي طلب يغيّر النطاق أو التكلفة أو المخاطر أو الاستراتيجية المعتمدة.</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الاعتماد</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تُعتمد النسخة النهائية خطيًا وتُقفل وتُدرج في سجل الأصول/المحتوى.</w:t>
            </w:r>
          </w:p>
        </w:tc>
      </w:tr>
      <w:tr>
        <w:tc>
          <w:tcPr>
            <w:tcW w:type="dxa" w:w="2217"/>
            <w:shd w:val="clear" w:fill="E9EDF1"/>
          </w:tcPr>
          <w:p>
            <w:pPr>
              <w:spacing w:after="20"/>
              <w:jc w:val="both"/>
              <w:bidi w:val="1"/>
            </w:pPr>
            <w:r>
              <w:rPr>
                <w:rtl w:val="1"/>
                <w:rFonts w:cs="Arial"/>
              </w:rPr>
            </w:r>
            <w:r>
              <w:rPr>
                <w:rFonts w:ascii="Arial" w:hAnsi="Arial"/>
                <w:b/>
                <w:color w:val="13283F"/>
                <w:sz w:val="17"/>
                <w:rtl w:val="1"/>
                <w:rFonts w:cs="Arial"/>
              </w:rPr>
              <w:t>الإصدار</w:t>
            </w:r>
          </w:p>
        </w:tc>
        <w:tc>
          <w:tcPr>
            <w:tcW w:type="dxa" w:w="7761"/>
            <w:shd w:val="clear" w:fill="E9EDF1"/>
          </w:tcPr>
          <w:p>
            <w:pPr>
              <w:spacing w:after="20"/>
              <w:jc w:val="both"/>
              <w:bidi w:val="1"/>
            </w:pPr>
            <w:r>
              <w:rPr>
                <w:rtl w:val="1"/>
                <w:rFonts w:cs="Arial"/>
              </w:rPr>
            </w:r>
            <w:r>
              <w:rPr>
                <w:rFonts w:ascii="Arial" w:hAnsi="Arial"/>
                <w:color w:val="13283F"/>
                <w:sz w:val="17"/>
                <w:rtl w:val="1"/>
                <w:rFonts w:cs="Arial"/>
              </w:rPr>
              <w:t>يُنشر أو يُنتج الملف المعتمد فقط؛ وتُسجَّل الروابط والملفات والتكاليف والأدلة النهائية.</w:t>
            </w:r>
          </w:p>
        </w:tc>
      </w:tr>
      <w:tr>
        <w:tc>
          <w:tcPr>
            <w:tcW w:type="dxa" w:w="2217"/>
            <w:shd w:val="clear" w:fill="F4F6F8"/>
          </w:tcPr>
          <w:p>
            <w:pPr>
              <w:spacing w:after="20"/>
              <w:jc w:val="both"/>
              <w:bidi w:val="1"/>
            </w:pPr>
            <w:r>
              <w:rPr>
                <w:rtl w:val="1"/>
                <w:rFonts w:cs="Arial"/>
              </w:rPr>
            </w:r>
            <w:r>
              <w:rPr>
                <w:rFonts w:ascii="Arial" w:hAnsi="Arial"/>
                <w:b/>
                <w:color w:val="13283F"/>
                <w:sz w:val="17"/>
                <w:rtl w:val="1"/>
                <w:rFonts w:cs="Arial"/>
              </w:rPr>
              <w:t>ما بعد الإصدار</w:t>
            </w:r>
          </w:p>
        </w:tc>
        <w:tc>
          <w:tcPr>
            <w:tcW w:type="dxa" w:w="7761"/>
            <w:shd w:val="clear" w:fill="F4F6F8"/>
          </w:tcPr>
          <w:p>
            <w:pPr>
              <w:spacing w:after="20"/>
              <w:jc w:val="both"/>
              <w:bidi w:val="1"/>
            </w:pPr>
            <w:r>
              <w:rPr>
                <w:rtl w:val="1"/>
                <w:rFonts w:cs="Arial"/>
              </w:rPr>
            </w:r>
            <w:r>
              <w:rPr>
                <w:rFonts w:ascii="Arial" w:hAnsi="Arial"/>
                <w:color w:val="13283F"/>
                <w:sz w:val="17"/>
                <w:rtl w:val="1"/>
                <w:rFonts w:cs="Arial"/>
              </w:rPr>
              <w:t>ترصد الوكالة الأداء والقضايا، وتؤرشف الملفات المصدرية والمخرجات، وتبلّغ عن الدروس أو الإجراءات التصحيحية.</w:t>
            </w:r>
          </w:p>
        </w:tc>
      </w:tr>
    </w:tbl>
    <w:p>
      <w:pPr>
        <w:spacing w:after="80"/>
      </w:pPr>
    </w:p>
    <w:p>
      <w:pPr>
        <w:spacing w:before="220" w:after="80"/>
        <w:jc w:val="right"/>
        <w:bidi w:val="1"/>
      </w:pPr>
      <w:r>
        <w:rPr>
          <w:rFonts w:ascii="Arial" w:hAnsi="Arial"/>
          <w:b/>
          <w:i w:val="0"/>
          <w:color w:val="13283F"/>
          <w:sz w:val="23"/>
          <w:rtl w:val="1"/>
          <w:rFonts w:cs="Arial"/>
        </w:rPr>
        <w:t>و٤ — تقارير الحالة</w:t>
      </w:r>
    </w:p>
    <w:p>
      <w:pPr>
        <w:pStyle w:val="ListBullet"/>
        <w:spacing w:before="0" w:after="40"/>
        <w:jc w:val="both"/>
        <w:bidi w:val="1"/>
      </w:pPr>
      <w:r>
        <w:rPr>
          <w:rFonts w:ascii="Arial" w:hAnsi="Arial"/>
          <w:b w:val="0"/>
          <w:i w:val="0"/>
          <w:color w:val="13283F"/>
          <w:sz w:val="18"/>
          <w:rtl w:val="1"/>
          <w:rFonts w:cs="Arial"/>
        </w:rPr>
        <w:t>خطة متكاملة واحدة توضح مسار العمل والمخرج والمالك والمعتمد والتبعية والتاريخ المخطط والتوقع الحالي والحالة والقرار التالي.</w:t>
      </w:r>
    </w:p>
    <w:p>
      <w:pPr>
        <w:pStyle w:val="ListBullet"/>
        <w:spacing w:before="0" w:after="40"/>
        <w:jc w:val="both"/>
        <w:bidi w:val="1"/>
      </w:pPr>
      <w:r>
        <w:rPr>
          <w:rFonts w:ascii="Arial" w:hAnsi="Arial"/>
          <w:b w:val="0"/>
          <w:i w:val="0"/>
          <w:color w:val="13283F"/>
          <w:sz w:val="18"/>
          <w:rtl w:val="1"/>
          <w:rFonts w:cs="Arial"/>
        </w:rPr>
        <w:t>تقرير خطي أسبوعي خلال الأسابيع الستة عشر الأولى وفترات الإطلاق، يغطي العمل المنجز والأسبوعين التاليين والاعتمادات والمخاطر والميزانية والقرارات المطلوبة.</w:t>
      </w:r>
    </w:p>
    <w:p>
      <w:pPr>
        <w:pStyle w:val="ListBullet"/>
        <w:spacing w:before="0" w:after="40"/>
        <w:jc w:val="both"/>
        <w:bidi w:val="1"/>
      </w:pPr>
      <w:r>
        <w:rPr>
          <w:rFonts w:ascii="Arial" w:hAnsi="Arial"/>
          <w:b w:val="0"/>
          <w:i w:val="0"/>
          <w:color w:val="13283F"/>
          <w:sz w:val="18"/>
          <w:rtl w:val="1"/>
          <w:rFonts w:cs="Arial"/>
        </w:rPr>
        <w:t>سجل قرارات يوثق التاريخ والقرار والصلاحية والانعكاسات والمخرجات المتأثرة.</w:t>
      </w:r>
    </w:p>
    <w:p>
      <w:pPr>
        <w:pStyle w:val="ListBullet"/>
        <w:spacing w:before="0" w:after="40"/>
        <w:jc w:val="both"/>
        <w:bidi w:val="1"/>
      </w:pPr>
      <w:r>
        <w:rPr>
          <w:rFonts w:ascii="Arial" w:hAnsi="Arial"/>
          <w:b w:val="0"/>
          <w:i w:val="0"/>
          <w:color w:val="13283F"/>
          <w:sz w:val="18"/>
          <w:rtl w:val="1"/>
          <w:rFonts w:cs="Arial"/>
        </w:rPr>
        <w:t>سجل مخاطر وقضايا يتضمن الاحتمالية والأثر والتخفيف والمالك والمحفّز والحالة الراهنة وتاريخ التصعيد.</w:t>
      </w:r>
    </w:p>
    <w:p>
      <w:pPr>
        <w:pStyle w:val="ListBullet"/>
        <w:spacing w:before="0" w:after="40"/>
        <w:jc w:val="both"/>
        <w:bidi w:val="1"/>
      </w:pPr>
      <w:r>
        <w:rPr>
          <w:rFonts w:ascii="Arial" w:hAnsi="Arial"/>
          <w:b w:val="0"/>
          <w:i w:val="0"/>
          <w:color w:val="13283F"/>
          <w:sz w:val="18"/>
          <w:rtl w:val="1"/>
          <w:rFonts w:cs="Arial"/>
        </w:rPr>
        <w:t>سجل تغييرات النطاق والتغييرات المالية؛ ولا يُحتسب أي تغيير ما لم يُعتمد خطيًا من الممثل التجاري المخوّل.</w:t>
      </w:r>
    </w:p>
    <w:p>
      <w:pPr>
        <w:spacing w:before="220" w:after="80"/>
        <w:jc w:val="right"/>
        <w:bidi w:val="1"/>
      </w:pPr>
      <w:r>
        <w:rPr>
          <w:rFonts w:ascii="Arial" w:hAnsi="Arial"/>
          <w:b/>
          <w:i w:val="0"/>
          <w:color w:val="13283F"/>
          <w:sz w:val="23"/>
          <w:rtl w:val="1"/>
          <w:rFonts w:cs="Arial"/>
        </w:rPr>
        <w:t>و٥ — ضبط التغيير</w:t>
      </w:r>
    </w:p>
    <w:p>
      <w:pPr>
        <w:spacing w:before="0" w:after="100"/>
        <w:jc w:val="both"/>
        <w:bidi w:val="1"/>
      </w:pPr>
      <w:r>
        <w:rPr>
          <w:rFonts w:ascii="Arial" w:hAnsi="Arial"/>
          <w:b w:val="0"/>
          <w:i w:val="0"/>
          <w:color w:val="13283F"/>
          <w:sz w:val="18"/>
          <w:rtl w:val="1"/>
          <w:rFonts w:cs="Arial"/>
        </w:rPr>
        <w:t>يجب أن يصف طلب التغيير التغيير المطلوب والسبب والافتراضات المتأثرة والمخرجات والجدول الزمني والموارد والأتعاب وتكاليف الأطراف الثالثة والمخاطر والبدائل. وعلى الوكالة مواصلة العمل غير المتأثر أثناء النظر في التغيير. ولا يُعد تصحيح أخطاء الوكالة أو إغفالاتها مقابل النطاق المتفق عليه أو المخرجات غير المطابقة طلب تغيير ولا يترتب عليه أي أتعاب إضافية.</w:t>
      </w:r>
    </w:p>
    <w:p>
      <w:pPr>
        <w:spacing w:before="360" w:after="120"/>
        <w:jc w:val="right"/>
        <w:bidi w:val="1"/>
      </w:pPr>
      <w:r>
        <w:rPr>
          <w:rFonts w:ascii="Arial" w:hAnsi="Arial"/>
          <w:b/>
          <w:i w:val="0"/>
          <w:color w:val="13283F"/>
          <w:sz w:val="34"/>
          <w:rtl w:val="1"/>
          <w:rFonts w:cs="Arial"/>
        </w:rPr>
        <w:t>الملحق (ز) — الاستجابة التجارية وقالب التسعير</w:t>
      </w:r>
    </w:p>
    <w:p>
      <w:pPr>
        <w:spacing w:before="220" w:after="80"/>
        <w:jc w:val="right"/>
        <w:bidi w:val="1"/>
      </w:pPr>
      <w:r>
        <w:rPr>
          <w:rFonts w:ascii="Arial" w:hAnsi="Arial"/>
          <w:b/>
          <w:i w:val="0"/>
          <w:color w:val="13283F"/>
          <w:sz w:val="23"/>
          <w:rtl w:val="1"/>
          <w:rFonts w:cs="Arial"/>
        </w:rPr>
        <w:t>ز١ — مبادئ التسعير</w:t>
      </w:r>
    </w:p>
    <w:p>
      <w:pPr>
        <w:pStyle w:val="ListBullet"/>
        <w:spacing w:before="0" w:after="40"/>
        <w:jc w:val="both"/>
        <w:bidi w:val="1"/>
      </w:pPr>
      <w:r>
        <w:rPr>
          <w:rFonts w:ascii="Arial" w:hAnsi="Arial"/>
          <w:b w:val="0"/>
          <w:i w:val="0"/>
          <w:color w:val="13283F"/>
          <w:sz w:val="18"/>
          <w:rtl w:val="1"/>
          <w:rFonts w:cs="Arial"/>
        </w:rPr>
        <w:t>أن تكون الأسعار بالدرهم الإماراتي وأن تبيّن ما إذا كانت شاملة أو غير شاملة لضريبة القيمة المضافة.</w:t>
      </w:r>
    </w:p>
    <w:p>
      <w:pPr>
        <w:pStyle w:val="ListBullet"/>
        <w:spacing w:before="0" w:after="40"/>
        <w:jc w:val="both"/>
        <w:bidi w:val="1"/>
      </w:pPr>
      <w:r>
        <w:rPr>
          <w:rFonts w:ascii="Arial" w:hAnsi="Arial"/>
          <w:b w:val="0"/>
          <w:i w:val="0"/>
          <w:color w:val="13283F"/>
          <w:sz w:val="18"/>
          <w:rtl w:val="1"/>
          <w:rFonts w:cs="Arial"/>
        </w:rPr>
        <w:t>فصل أتعاب الاستراتيجية والإنشاء لمرة واحدة، والأتعاب الشهرية المتكررة، وتكاليف الإنتاج، والإنفاق الإعلاني، وتراخيص الأطراف الثالثة، والسفر، والخدمات الاختيارية.</w:t>
      </w:r>
    </w:p>
    <w:p>
      <w:pPr>
        <w:pStyle w:val="ListBullet"/>
        <w:spacing w:before="0" w:after="40"/>
        <w:jc w:val="both"/>
        <w:bidi w:val="1"/>
      </w:pPr>
      <w:r>
        <w:rPr>
          <w:rFonts w:ascii="Arial" w:hAnsi="Arial"/>
          <w:b w:val="0"/>
          <w:i w:val="0"/>
          <w:color w:val="13283F"/>
          <w:sz w:val="18"/>
          <w:rtl w:val="1"/>
          <w:rFonts w:cs="Arial"/>
        </w:rPr>
        <w:t>أن يبيّن كل سعر الوحدة والكمية والتواتر والافتراضات والاستثناءات ومدة السريان.</w:t>
      </w:r>
    </w:p>
    <w:p>
      <w:pPr>
        <w:pStyle w:val="ListBullet"/>
        <w:spacing w:before="0" w:after="40"/>
        <w:jc w:val="both"/>
        <w:bidi w:val="1"/>
      </w:pPr>
      <w:r>
        <w:rPr>
          <w:rFonts w:ascii="Arial" w:hAnsi="Arial"/>
          <w:b w:val="0"/>
          <w:i w:val="0"/>
          <w:color w:val="13283F"/>
          <w:sz w:val="18"/>
          <w:rtl w:val="1"/>
          <w:rFonts w:cs="Arial"/>
        </w:rPr>
        <w:t>لا يجوز مطلقًا دمج الإنفاق الإعلاني في أتعاب الوكالة. ويجب الإفصاح عن جميع الحسومات والعمولات والأرصدة ومزايا الحجم والهوامش.</w:t>
      </w:r>
    </w:p>
    <w:p>
      <w:pPr>
        <w:pStyle w:val="ListBullet"/>
        <w:spacing w:before="0" w:after="40"/>
        <w:jc w:val="both"/>
        <w:bidi w:val="1"/>
      </w:pPr>
      <w:r>
        <w:rPr>
          <w:rFonts w:ascii="Arial" w:hAnsi="Arial"/>
          <w:b w:val="0"/>
          <w:i w:val="0"/>
          <w:color w:val="13283F"/>
          <w:sz w:val="18"/>
          <w:rtl w:val="1"/>
          <w:rFonts w:cs="Arial"/>
        </w:rPr>
        <w:t>لا يجوز تكبّد تكاليف أطراف ثالثة دون اعتماد خطي ومستندات داعمة.</w:t>
      </w:r>
    </w:p>
    <w:p>
      <w:pPr>
        <w:pStyle w:val="ListBullet"/>
        <w:spacing w:before="0" w:after="40"/>
        <w:jc w:val="both"/>
        <w:bidi w:val="1"/>
      </w:pPr>
      <w:r>
        <w:rPr>
          <w:rFonts w:ascii="Arial" w:hAnsi="Arial"/>
          <w:b w:val="0"/>
          <w:i w:val="0"/>
          <w:color w:val="13283F"/>
          <w:sz w:val="18"/>
          <w:rtl w:val="1"/>
          <w:rFonts w:cs="Arial"/>
        </w:rPr>
        <w:t>على مقدم العرض تحديد أي التزام أدنى أو تجديد تلقائي أو زيادة سنوية أو رسوم إلغاء أو ترخيص غير قابل للنقل.</w:t>
      </w:r>
    </w:p>
    <w:p>
      <w:pPr>
        <w:pStyle w:val="ListBullet"/>
        <w:spacing w:before="0" w:after="40"/>
        <w:jc w:val="both"/>
        <w:bidi w:val="1"/>
      </w:pPr>
      <w:r>
        <w:rPr>
          <w:rFonts w:ascii="Arial" w:hAnsi="Arial"/>
          <w:b w:val="0"/>
          <w:i w:val="0"/>
          <w:color w:val="13283F"/>
          <w:sz w:val="18"/>
          <w:rtl w:val="1"/>
          <w:rFonts w:cs="Arial"/>
        </w:rPr>
        <w:t>يجب أن تتبع مراحل الدفع المخرجات المقبولة والإنجاز القابل للقياس، لا مجرد مرور الوقت.</w:t>
      </w:r>
    </w:p>
    <w:p>
      <w:pPr>
        <w:pStyle w:val="ListBullet"/>
        <w:spacing w:before="0" w:after="40"/>
        <w:jc w:val="both"/>
        <w:bidi w:val="1"/>
      </w:pPr>
      <w:r>
        <w:rPr>
          <w:rFonts w:ascii="Arial" w:hAnsi="Arial"/>
          <w:b w:val="0"/>
          <w:i w:val="0"/>
          <w:color w:val="13283F"/>
          <w:sz w:val="18"/>
          <w:rtl w:val="1"/>
          <w:rFonts w:cs="Arial"/>
        </w:rPr>
        <w:t>جميع الملفات المصدرية والبيانات وبيانات الاعتماد والحقوق القابلة للنقل مشمولة ما لم يرد استثناء صريح ومقبول في العرض المالي.</w:t>
      </w:r>
    </w:p>
    <w:p>
      <w:pPr>
        <w:pStyle w:val="ListBullet"/>
        <w:spacing w:before="0" w:after="40"/>
        <w:jc w:val="both"/>
        <w:bidi w:val="1"/>
      </w:pPr>
      <w:r>
        <w:rPr>
          <w:rFonts w:ascii="Arial" w:hAnsi="Arial"/>
          <w:b w:val="0"/>
          <w:i w:val="0"/>
          <w:color w:val="13283F"/>
          <w:sz w:val="18"/>
          <w:rtl w:val="1"/>
          <w:rFonts w:cs="Arial"/>
        </w:rPr>
        <w:t>تقديم جدول لبنود القيمة مطابق لمراجع العرض الفني. ولكل بند، بيان ما إذا كان مشمولًا في الأتعاب الأساسية أو اختياريًا، وتكلفته الإجمالية والمتكررة، وافتراضات التنفيذ، والفائدة القابلة للقياس، والمالك، والتعرض للتراخيص/الاشتراكات، وأي تبعية بعد انتهاء العقد.</w:t>
      </w:r>
    </w:p>
    <w:p>
      <w:pPr>
        <w:spacing w:before="220" w:after="80"/>
        <w:jc w:val="right"/>
        <w:bidi w:val="1"/>
      </w:pPr>
      <w:r>
        <w:rPr>
          <w:rFonts w:ascii="Arial" w:hAnsi="Arial"/>
          <w:b/>
          <w:i w:val="0"/>
          <w:color w:val="13283F"/>
          <w:sz w:val="23"/>
          <w:rtl w:val="1"/>
          <w:rFonts w:cs="Arial"/>
        </w:rPr>
        <w:t>ز٢ — جدول تسعير الحزمة الأولى</w:t>
      </w:r>
    </w:p>
    <w:tbl>
      <w:tblPr>
        <w:tblStyle w:val="TableGrid"/>
        <w:tblW w:type="auto" w:w="0"/>
        <w:jc w:val="center"/>
        <w:tblLayout w:type="fixed"/>
        <w:tblLook w:firstColumn="1" w:firstRow="1" w:lastColumn="0" w:lastRow="0" w:noHBand="0" w:noVBand="1" w:val="04A0"/>
        <w:bidiVisual/>
      </w:tblPr>
      <w:tblGrid>
        <w:gridCol w:w="3104"/>
        <w:gridCol w:w="6874"/>
      </w:tblGrid>
      <w:tr>
        <w:tc>
          <w:tcPr>
            <w:tcW w:type="dxa" w:w="3104"/>
            <w:shd w:val="clear" w:fill="13283F"/>
          </w:tcPr>
          <w:p>
            <w:pPr>
              <w:spacing w:after="20"/>
              <w:jc w:val="both"/>
              <w:bidi w:val="1"/>
            </w:pPr>
            <w:r>
              <w:rPr>
                <w:rtl w:val="1"/>
                <w:rFonts w:cs="Arial"/>
              </w:rPr>
            </w:r>
            <w:r>
              <w:rPr>
                <w:rFonts w:ascii="Arial" w:hAnsi="Arial"/>
                <w:b/>
                <w:color w:val="FFFFFF"/>
                <w:sz w:val="17"/>
                <w:rtl w:val="1"/>
                <w:rFonts w:cs="Arial"/>
              </w:rPr>
              <w:t>بند التسعير</w:t>
            </w:r>
          </w:p>
        </w:tc>
        <w:tc>
          <w:tcPr>
            <w:tcW w:type="dxa" w:w="6874"/>
            <w:shd w:val="clear" w:fill="13283F"/>
          </w:tcPr>
          <w:p>
            <w:pPr>
              <w:spacing w:after="20"/>
              <w:jc w:val="both"/>
              <w:bidi w:val="1"/>
            </w:pPr>
            <w:r>
              <w:rPr>
                <w:rtl w:val="1"/>
                <w:rFonts w:cs="Arial"/>
              </w:rPr>
            </w:r>
            <w:r>
              <w:rPr>
                <w:rFonts w:ascii="Arial" w:hAnsi="Arial"/>
                <w:b/>
                <w:color w:val="FFFFFF"/>
                <w:sz w:val="17"/>
                <w:rtl w:val="1"/>
                <w:rFonts w:cs="Arial"/>
              </w:rPr>
              <w:t>أساس التسعير المطلوب</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الاستكشاف والبحوث</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ثابتة؛ مع بيان افتراضات المقابلات والورش والبحوث والتعديلات.</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استراتيجية العلامة والرسائل</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أتعاب ثابتة حسب المخرج المعتمد واللغة.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الهيكل والتسمية</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ثابتة تغطي الكيانات الستة وقواعد الكيانات المستقبلية.</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الهوية البصرية</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أتعاب ثابتة للعلامة الأم وخمسة تعبيرات للكيانات والدليل والتطبيقات والتسليم.</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الملفات التعريفية والقوالب</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تسعير بالوحدة وبالحزمة؛ مع بيان عدد الصفحات واللغات والصيغ القابلة للتحرير.</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استراتيجية الموقع وتجربة المستخدم</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أتعاب ثابتة مع افتراضات الصفحات/القوالب/النماذج.</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تصميم الموقع وتطويره</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ثابتة مفصولة حسب التصميم والبناء والمحتوى والترحيل والتكاملات والاختبار والإطلاق والضمان.</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حملة الإطلاق والفيلم</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تفصيل المفهوم والتحضير والإنتاج والطاقم والمعدات والمواهب والمواقع والمونتاج والنسخ والموسيقى والحقوق.</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أتعاب العلاقات العامة</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شهرية مع ساعات/طاقة الفريق والمخرجات وأدوات الرصد والتقارير والاستثناءات.</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إنتاج الحملات</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بطاقة أسعار وحدة إضافة إلى افتراضات مسعّرة للحملات الموضوعية الثلاث.</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التدريب والتسليم</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النطاق المشمول وأي دعم ممتد اختياري.</w:t>
            </w:r>
          </w:p>
        </w:tc>
      </w:tr>
    </w:tbl>
    <w:p>
      <w:pPr>
        <w:spacing w:after="80"/>
      </w:pPr>
    </w:p>
    <w:p>
      <w:pPr>
        <w:spacing w:before="220" w:after="80"/>
        <w:jc w:val="right"/>
        <w:bidi w:val="1"/>
      </w:pPr>
      <w:r>
        <w:rPr>
          <w:rFonts w:ascii="Arial" w:hAnsi="Arial"/>
          <w:b/>
          <w:i w:val="0"/>
          <w:color w:val="13283F"/>
          <w:sz w:val="23"/>
          <w:rtl w:val="1"/>
          <w:rFonts w:cs="Arial"/>
        </w:rPr>
        <w:t>ز٣ — جدول تسعير الحزمة الثانية الاختيارية</w:t>
      </w:r>
    </w:p>
    <w:p>
      <w:pPr>
        <w:spacing w:before="0" w:after="100"/>
        <w:jc w:val="both"/>
        <w:bidi w:val="1"/>
      </w:pPr>
      <w:r>
        <w:rPr>
          <w:rFonts w:ascii="Arial" w:hAnsi="Arial"/>
          <w:b w:val="0"/>
          <w:i w:val="0"/>
          <w:color w:val="13283F"/>
          <w:sz w:val="18"/>
          <w:rtl w:val="1"/>
          <w:rFonts w:cs="Arial"/>
        </w:rPr>
        <w:t>يجب أن يكون تسعير الحزمة الثانية قابلًا للفصل تمامًا عن الحزمة الأولى. ولا يجوز لأي خصم أو تبعية مجمّعة أو توزيع بين الحزمتين أن يحجب التكلفة المستقلة لأي من التعيينين.</w:t>
      </w:r>
    </w:p>
    <w:tbl>
      <w:tblPr>
        <w:tblStyle w:val="TableGrid"/>
        <w:tblW w:type="auto" w:w="0"/>
        <w:jc w:val="center"/>
        <w:tblLayout w:type="fixed"/>
        <w:tblLook w:firstColumn="1" w:firstRow="1" w:lastColumn="0" w:lastRow="0" w:noHBand="0" w:noVBand="1" w:val="04A0"/>
        <w:bidiVisual/>
      </w:tblPr>
      <w:tblGrid>
        <w:gridCol w:w="3104"/>
        <w:gridCol w:w="6874"/>
      </w:tblGrid>
      <w:tr>
        <w:tc>
          <w:tcPr>
            <w:tcW w:type="dxa" w:w="3104"/>
            <w:shd w:val="clear" w:fill="13283F"/>
          </w:tcPr>
          <w:p>
            <w:pPr>
              <w:spacing w:after="20"/>
              <w:jc w:val="both"/>
              <w:bidi w:val="1"/>
            </w:pPr>
            <w:r>
              <w:rPr>
                <w:rtl w:val="1"/>
                <w:rFonts w:cs="Arial"/>
              </w:rPr>
            </w:r>
            <w:r>
              <w:rPr>
                <w:rFonts w:ascii="Arial" w:hAnsi="Arial"/>
                <w:b/>
                <w:color w:val="FFFFFF"/>
                <w:sz w:val="17"/>
                <w:rtl w:val="1"/>
                <w:rFonts w:cs="Arial"/>
              </w:rPr>
              <w:t>بند التسعير</w:t>
            </w:r>
          </w:p>
        </w:tc>
        <w:tc>
          <w:tcPr>
            <w:tcW w:type="dxa" w:w="6874"/>
            <w:shd w:val="clear" w:fill="13283F"/>
          </w:tcPr>
          <w:p>
            <w:pPr>
              <w:spacing w:after="20"/>
              <w:jc w:val="both"/>
              <w:bidi w:val="1"/>
            </w:pPr>
            <w:r>
              <w:rPr>
                <w:rtl w:val="1"/>
                <w:rFonts w:cs="Arial"/>
              </w:rPr>
            </w:r>
            <w:r>
              <w:rPr>
                <w:rFonts w:ascii="Arial" w:hAnsi="Arial"/>
                <w:b/>
                <w:color w:val="FFFFFF"/>
                <w:sz w:val="17"/>
                <w:rtl w:val="1"/>
                <w:rFonts w:cs="Arial"/>
              </w:rPr>
              <w:t>أساس التسعير المطلوب</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الاستراتيجية والتعبئة</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ثابتة لمرة واحدة.</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السيناريو أ — حجم مرن</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أتعاب شهرية؛ مع تحديد الطاقة وحدود الاستخدام العادل وموارد الإنتاج ومستويات الاستجابة.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السيناريو ب — حجم محدد</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أتعاب شهرية؛ مع تحديد كمية كل صيغة حسب الكيان والقناة.</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إدارة المجتمع</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الساعات واللغات ونوافذ الخدمة والمنصات وتغطية التصعيد.</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أيام الإنتاج</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سعر اليوم وما يشمله من طاقم ومعدات ومخرجات ومواقع ومونتاج ونقل.</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تغطية الفعاليات</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أسعار بالساعة/نصف اليوم/اليوم الكامل؛ ومعالجة أيام العمل ونهاية الأسبوع والعطل الرسمية.</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إدارة الإعلانات المدفوعة</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نموذج الأتعاب والحد الأدنى/الأقصى والمنصات والتحسين والتقارير؛ مع فصل الإنفاق الإعلاني.</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المؤثرون وقادة الرأي</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فصل أتعاب الاستقطاب/الإدارة عن أتعاب المواهب؛ وافتراضات العناية الواجبة والحقوق.</w:t>
            </w:r>
          </w:p>
        </w:tc>
      </w:tr>
      <w:tr>
        <w:tc>
          <w:tcPr>
            <w:tcW w:type="dxa" w:w="3104"/>
            <w:shd w:val="clear" w:fill="F4F6F8"/>
          </w:tcPr>
          <w:p>
            <w:pPr>
              <w:spacing w:after="20"/>
              <w:jc w:val="both"/>
              <w:bidi w:val="1"/>
            </w:pPr>
            <w:r>
              <w:rPr>
                <w:rtl w:val="1"/>
                <w:rFonts w:cs="Arial"/>
              </w:rPr>
            </w:r>
            <w:r>
              <w:rPr>
                <w:rFonts w:ascii="Arial" w:hAnsi="Arial"/>
                <w:b/>
                <w:color w:val="13283F"/>
                <w:sz w:val="17"/>
                <w:rtl w:val="1"/>
                <w:rFonts w:cs="Arial"/>
              </w:rPr>
              <w:t>المحتوى الإضافي</w:t>
            </w:r>
          </w:p>
        </w:tc>
        <w:tc>
          <w:tcPr>
            <w:tcW w:type="dxa" w:w="6874"/>
            <w:shd w:val="clear" w:fill="F4F6F8"/>
          </w:tcPr>
          <w:p>
            <w:pPr>
              <w:spacing w:after="20"/>
              <w:jc w:val="both"/>
              <w:bidi w:val="1"/>
            </w:pPr>
            <w:r>
              <w:rPr>
                <w:rtl w:val="1"/>
                <w:rFonts w:cs="Arial"/>
              </w:rPr>
            </w:r>
            <w:r>
              <w:rPr>
                <w:rFonts w:ascii="Arial" w:hAnsi="Arial"/>
                <w:color w:val="13283F"/>
                <w:sz w:val="17"/>
                <w:rtl w:val="1"/>
                <w:rFonts w:cs="Arial"/>
              </w:rPr>
              <w:t>سعر الوحدة حسب الثابت والكاروسيل والإنفوجرافيك والريلز والرسوم المتحركة والمقابلة والفيديو الطويل والنص والترجمة.</w:t>
            </w:r>
          </w:p>
        </w:tc>
      </w:tr>
      <w:tr>
        <w:tc>
          <w:tcPr>
            <w:tcW w:type="dxa" w:w="3104"/>
            <w:shd w:val="clear" w:fill="E9EDF1"/>
          </w:tcPr>
          <w:p>
            <w:pPr>
              <w:spacing w:after="20"/>
              <w:jc w:val="both"/>
              <w:bidi w:val="1"/>
            </w:pPr>
            <w:r>
              <w:rPr>
                <w:rtl w:val="1"/>
                <w:rFonts w:cs="Arial"/>
              </w:rPr>
            </w:r>
            <w:r>
              <w:rPr>
                <w:rFonts w:ascii="Arial" w:hAnsi="Arial"/>
                <w:b/>
                <w:color w:val="13283F"/>
                <w:sz w:val="17"/>
                <w:rtl w:val="1"/>
                <w:rFonts w:cs="Arial"/>
              </w:rPr>
              <w:t>الانتقال والأرشفة</w:t>
            </w:r>
          </w:p>
        </w:tc>
        <w:tc>
          <w:tcPr>
            <w:tcW w:type="dxa" w:w="6874"/>
            <w:shd w:val="clear" w:fill="E9EDF1"/>
          </w:tcPr>
          <w:p>
            <w:pPr>
              <w:spacing w:after="20"/>
              <w:jc w:val="both"/>
              <w:bidi w:val="1"/>
            </w:pPr>
            <w:r>
              <w:rPr>
                <w:rtl w:val="1"/>
                <w:rFonts w:cs="Arial"/>
              </w:rPr>
            </w:r>
            <w:r>
              <w:rPr>
                <w:rFonts w:ascii="Arial" w:hAnsi="Arial"/>
                <w:color w:val="13283F"/>
                <w:sz w:val="17"/>
                <w:rtl w:val="1"/>
                <w:rFonts w:cs="Arial"/>
              </w:rPr>
              <w:t>التسليم الشهري المشمول والتزامات الانتقال النهائية.</w:t>
            </w:r>
          </w:p>
        </w:tc>
      </w:tr>
    </w:tbl>
    <w:p>
      <w:pPr>
        <w:spacing w:after="80"/>
      </w:pPr>
    </w:p>
    <w:p>
      <w:pPr>
        <w:spacing w:before="220" w:after="80"/>
        <w:jc w:val="right"/>
        <w:bidi w:val="1"/>
      </w:pPr>
      <w:r>
        <w:rPr>
          <w:rFonts w:ascii="Arial" w:hAnsi="Arial"/>
          <w:b/>
          <w:i w:val="0"/>
          <w:color w:val="13283F"/>
          <w:sz w:val="23"/>
          <w:rtl w:val="1"/>
          <w:rFonts w:cs="Arial"/>
        </w:rPr>
        <w:t>ز٤ — متطلبات بطاقة الأسعار</w:t>
      </w:r>
    </w:p>
    <w:p>
      <w:pPr>
        <w:spacing w:before="0" w:after="100"/>
        <w:jc w:val="both"/>
        <w:bidi w:val="1"/>
      </w:pPr>
      <w:r>
        <w:rPr>
          <w:rFonts w:ascii="Arial" w:hAnsi="Arial"/>
          <w:b w:val="0"/>
          <w:i w:val="0"/>
          <w:color w:val="13283F"/>
          <w:sz w:val="18"/>
          <w:rtl w:val="1"/>
          <w:rFonts w:cs="Arial"/>
        </w:rPr>
        <w:t>يجب أن يتضمن العرض المالي بطاقة أسعار سارية طوال مدة العقد تغطي الاستراتيجية والاستشارات العليا وإدارة الحسابات وكتابة المحتوى العربي وكتابة المحتوى الإنجليزي والترجمة والتصميم والحركة والمونتاج والتصوير الفوتوغرافي والتصوير المرئي وطاقم الإنتاج وتطوير الويب وتجربة المستخدم وتحسين محركات البحث والتحليلات وإدارة المجتمع والعلاقات الإعلامية والتدريب الإعلامي ودعم الأزمات. ويجب أن تحدد الأسعار ما إذا كانت بالساعة أو اليوم أو الوحدة، ولا تُستخدم إلا بعد تفويض خطي.</w:t>
      </w:r>
    </w:p>
    <w:p>
      <w:pPr>
        <w:spacing w:before="220" w:after="80"/>
        <w:jc w:val="right"/>
        <w:bidi w:val="1"/>
      </w:pPr>
      <w:r>
        <w:rPr>
          <w:rFonts w:ascii="Arial" w:hAnsi="Arial"/>
          <w:b/>
          <w:i w:val="0"/>
          <w:color w:val="13283F"/>
          <w:sz w:val="23"/>
          <w:rtl w:val="1"/>
          <w:rFonts w:cs="Arial"/>
        </w:rPr>
        <w:t>ز٥ — بوابات الدفع الموصى بها</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البوابة</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الأدلة قبل إصدار الفاتورة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التعبئة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خطة مشروع معتمدة، وحوكمة، وجدول مقابلات، وسجل وصول، وسجل مخاطر.</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الاستراتيجية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استراتيجية علامة ورسائل وهيكل معتمدة.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الهوية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نظام رئيسي ونظام كيانات وتوجه تطبيقات معتمد.</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التسليم</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دليل كامل، وملفات مصدرية، وتراخيص، وتدريب، وسجل أصول.</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الموقع</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أدلة البوابات المعتمدة لمحطات التصميم والبناء والمحتوى والإطلاق والضمان.</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الأتعاب الشهرية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تقرير شهري مقبول، وأرشيف أصول/بيانات، وتكاليف أطراف ثالثة مطابَقة، ومخرجات مكتملة.</w:t>
            </w:r>
          </w:p>
        </w:tc>
      </w:tr>
    </w:tbl>
    <w:p>
      <w:pPr>
        <w:spacing w:after="80"/>
      </w:pPr>
    </w:p>
    <w:p>
      <w:pPr>
        <w:spacing w:before="360" w:after="120"/>
        <w:jc w:val="right"/>
        <w:bidi w:val="1"/>
      </w:pPr>
      <w:r>
        <w:rPr>
          <w:rFonts w:ascii="Arial" w:hAnsi="Arial"/>
          <w:b/>
          <w:i w:val="0"/>
          <w:color w:val="13283F"/>
          <w:sz w:val="34"/>
          <w:rtl w:val="1"/>
          <w:rFonts w:cs="Arial"/>
        </w:rPr>
        <w:t>الملحق (ح) — القبول والجودة والتسليم</w:t>
      </w:r>
    </w:p>
    <w:p>
      <w:pPr>
        <w:spacing w:before="220" w:after="80"/>
        <w:jc w:val="right"/>
        <w:bidi w:val="1"/>
      </w:pPr>
      <w:r>
        <w:rPr>
          <w:rFonts w:ascii="Arial" w:hAnsi="Arial"/>
          <w:b/>
          <w:i w:val="0"/>
          <w:color w:val="13283F"/>
          <w:sz w:val="23"/>
          <w:rtl w:val="1"/>
          <w:rFonts w:cs="Arial"/>
        </w:rPr>
        <w:t>ح١ — معيار القبول العام</w:t>
      </w:r>
    </w:p>
    <w:p>
      <w:pPr>
        <w:spacing w:before="0" w:after="100"/>
        <w:jc w:val="both"/>
        <w:bidi w:val="1"/>
      </w:pPr>
      <w:r>
        <w:rPr>
          <w:rFonts w:ascii="Arial" w:hAnsi="Arial"/>
          <w:b w:val="0"/>
          <w:i w:val="0"/>
          <w:color w:val="13283F"/>
          <w:sz w:val="18"/>
          <w:rtl w:val="1"/>
          <w:rFonts w:cs="Arial"/>
        </w:rPr>
        <w:t>لا يُقبل المخرج إلا إذا كان مكتملًا ودقيقًا ومتوافقًا مع الاستراتيجية والإحاطة المعتمدتين، وفعالًا تقنيًا، ومسلَّمًا بجميع اللغات والصيغ المطلوبة، وخاليًا من العيوب الحرجة أو العالية، ومصحوبًا بالأدلة والملفات المصدرية، ومعتمدًا من ممثل ثرا المخوّل. ولا يشكّل الاستخدام أو النشر تحت ضغط الجدول الزمني قبولًا تلقائيًا.</w:t>
      </w:r>
    </w:p>
    <w:p>
      <w:pPr>
        <w:spacing w:before="220" w:after="80"/>
        <w:jc w:val="right"/>
        <w:bidi w:val="1"/>
      </w:pPr>
      <w:r>
        <w:rPr>
          <w:rFonts w:ascii="Arial" w:hAnsi="Arial"/>
          <w:b/>
          <w:i w:val="0"/>
          <w:color w:val="13283F"/>
          <w:sz w:val="23"/>
          <w:rtl w:val="1"/>
          <w:rFonts w:cs="Arial"/>
        </w:rPr>
        <w:t>ح٢ — قائمة فحص الجودة</w:t>
      </w:r>
    </w:p>
    <w:tbl>
      <w:tblPr>
        <w:tblStyle w:val="TableGrid"/>
        <w:tblW w:type="auto" w:w="0"/>
        <w:jc w:val="center"/>
        <w:tblLayout w:type="fixed"/>
        <w:tblLook w:firstColumn="1" w:firstRow="1" w:lastColumn="0" w:lastRow="0" w:noHBand="0" w:noVBand="1" w:val="04A0"/>
        <w:bidiVisual/>
      </w:tblPr>
      <w:tblGrid>
        <w:gridCol w:w="2661"/>
        <w:gridCol w:w="7318"/>
      </w:tblGrid>
      <w:tr>
        <w:tc>
          <w:tcPr>
            <w:tcW w:type="dxa" w:w="2661"/>
            <w:shd w:val="clear" w:fill="13283F"/>
          </w:tcPr>
          <w:p>
            <w:pPr>
              <w:spacing w:after="20"/>
              <w:jc w:val="both"/>
              <w:bidi w:val="1"/>
            </w:pPr>
            <w:r>
              <w:rPr>
                <w:rtl w:val="1"/>
                <w:rFonts w:cs="Arial"/>
              </w:rPr>
            </w:r>
            <w:r>
              <w:rPr>
                <w:rFonts w:ascii="Arial" w:hAnsi="Arial"/>
                <w:b/>
                <w:color w:val="FFFFFF"/>
                <w:sz w:val="17"/>
                <w:rtl w:val="1"/>
                <w:rFonts w:cs="Arial"/>
              </w:rPr>
              <w:t>بُعد الجودة</w:t>
            </w:r>
          </w:p>
        </w:tc>
        <w:tc>
          <w:tcPr>
            <w:tcW w:type="dxa" w:w="7317"/>
            <w:shd w:val="clear" w:fill="13283F"/>
          </w:tcPr>
          <w:p>
            <w:pPr>
              <w:spacing w:after="20"/>
              <w:jc w:val="both"/>
              <w:bidi w:val="1"/>
            </w:pPr>
            <w:r>
              <w:rPr>
                <w:rtl w:val="1"/>
                <w:rFonts w:cs="Arial"/>
              </w:rPr>
            </w:r>
            <w:r>
              <w:rPr>
                <w:rFonts w:ascii="Arial" w:hAnsi="Arial"/>
                <w:b/>
                <w:color w:val="FFFFFF"/>
                <w:sz w:val="17"/>
                <w:rtl w:val="1"/>
                <w:rFonts w:cs="Arial"/>
              </w:rPr>
              <w:t>اختبار القبول</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الاستراتيجي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يدعم مباشرة هدفًا تجاريًا وجماهيريًا معلنًا؛ ومتسق مع منصة ثرا المعتمدة وأدوار الكيانات.</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الوقائعي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الأسماء والألقاب والملكية والأرقام والادعاءات والشركاء والتواريخ ودعوات الإجراء مطابقة للأدلة المعتمدة.</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العربية</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عربية فصيحة بجودة الناطق الأصلي؛ ومصطلحات وقواعد وترقيم وتخطيط من اليمين إلى اليسار وفواصل أسطر صحيحة.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الإنجليزية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احترافية وموجزة وسليمة نحويًا؛ ومصطلحات متسقة وتركيب طبيعي.</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الإبداعي</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متوافق مع العلامة، وأصيل، ومقروء، وميسّر، وجاهز للإنتاج، ومناسب للجمهور والقناة.</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التقني</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الحجم والدقة واللون والترميز/نوع الملف والروابط والنماذج والتتبع والاستجابة والأمن والتوافق بشكل صحيح.</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الحقوق</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حقوق موثقة للصور والمواهب والموسيقى والخطوط والأصول الجاهزة والمواقع والأعمال المكلَّف بها؛ مع حفظ الأذونات.</w:t>
            </w:r>
          </w:p>
        </w:tc>
      </w:tr>
      <w:tr>
        <w:tc>
          <w:tcPr>
            <w:tcW w:type="dxa" w:w="2661"/>
            <w:shd w:val="clear" w:fill="E9EDF1"/>
          </w:tcPr>
          <w:p>
            <w:pPr>
              <w:spacing w:after="20"/>
              <w:jc w:val="both"/>
              <w:bidi w:val="1"/>
            </w:pPr>
            <w:r>
              <w:rPr>
                <w:rtl w:val="1"/>
                <w:rFonts w:cs="Arial"/>
              </w:rPr>
            </w:r>
            <w:r>
              <w:rPr>
                <w:rFonts w:ascii="Arial" w:hAnsi="Arial"/>
                <w:b/>
                <w:color w:val="13283F"/>
                <w:sz w:val="17"/>
                <w:rtl w:val="1"/>
                <w:rFonts w:cs="Arial"/>
              </w:rPr>
              <w:t>الحوكمة</w:t>
            </w:r>
          </w:p>
        </w:tc>
        <w:tc>
          <w:tcPr>
            <w:tcW w:type="dxa" w:w="7317"/>
            <w:shd w:val="clear" w:fill="E9EDF1"/>
          </w:tcPr>
          <w:p>
            <w:pPr>
              <w:spacing w:after="20"/>
              <w:jc w:val="both"/>
              <w:bidi w:val="1"/>
            </w:pPr>
            <w:r>
              <w:rPr>
                <w:rtl w:val="1"/>
                <w:rFonts w:cs="Arial"/>
              </w:rPr>
            </w:r>
            <w:r>
              <w:rPr>
                <w:rFonts w:ascii="Arial" w:hAnsi="Arial"/>
                <w:color w:val="13283F"/>
                <w:sz w:val="17"/>
                <w:rtl w:val="1"/>
                <w:rFonts w:cs="Arial"/>
              </w:rPr>
              <w:t>الاعتماد الصحيح، وإصدار الملف، والمالك، ومسار الأرشيف، وتوقيت النشر، والاحتفاظ.</w:t>
            </w:r>
          </w:p>
        </w:tc>
      </w:tr>
      <w:tr>
        <w:tc>
          <w:tcPr>
            <w:tcW w:type="dxa" w:w="2661"/>
            <w:shd w:val="clear" w:fill="F4F6F8"/>
          </w:tcPr>
          <w:p>
            <w:pPr>
              <w:spacing w:after="20"/>
              <w:jc w:val="both"/>
              <w:bidi w:val="1"/>
            </w:pPr>
            <w:r>
              <w:rPr>
                <w:rtl w:val="1"/>
                <w:rFonts w:cs="Arial"/>
              </w:rPr>
            </w:r>
            <w:r>
              <w:rPr>
                <w:rFonts w:ascii="Arial" w:hAnsi="Arial"/>
                <w:b/>
                <w:color w:val="13283F"/>
                <w:sz w:val="17"/>
                <w:rtl w:val="1"/>
                <w:rFonts w:cs="Arial"/>
              </w:rPr>
              <w:t>الأداء</w:t>
            </w:r>
          </w:p>
        </w:tc>
        <w:tc>
          <w:tcPr>
            <w:tcW w:type="dxa" w:w="7317"/>
            <w:shd w:val="clear" w:fill="F4F6F8"/>
          </w:tcPr>
          <w:p>
            <w:pPr>
              <w:spacing w:after="20"/>
              <w:jc w:val="both"/>
              <w:bidi w:val="1"/>
            </w:pPr>
            <w:r>
              <w:rPr>
                <w:rtl w:val="1"/>
                <w:rFonts w:cs="Arial"/>
              </w:rPr>
            </w:r>
            <w:r>
              <w:rPr>
                <w:rFonts w:ascii="Arial" w:hAnsi="Arial"/>
                <w:color w:val="13283F"/>
                <w:sz w:val="17"/>
                <w:rtl w:val="1"/>
                <w:rFonts w:cs="Arial"/>
              </w:rPr>
              <w:t>عمل وسوم القياس وأحداث التحويل؛ وتوثيق خط الأساس أو الهدف حيثما ينطبق.</w:t>
            </w:r>
          </w:p>
        </w:tc>
      </w:tr>
    </w:tbl>
    <w:p>
      <w:pPr>
        <w:spacing w:after="80"/>
      </w:pPr>
    </w:p>
    <w:p>
      <w:pPr>
        <w:spacing w:before="220" w:after="80"/>
        <w:jc w:val="right"/>
        <w:bidi w:val="1"/>
      </w:pPr>
      <w:r>
        <w:rPr>
          <w:rFonts w:ascii="Arial" w:hAnsi="Arial"/>
          <w:b/>
          <w:i w:val="0"/>
          <w:color w:val="13283F"/>
          <w:sz w:val="23"/>
          <w:rtl w:val="1"/>
          <w:rFonts w:cs="Arial"/>
        </w:rPr>
        <w:t>ح٣ — درجة العيوب وتصحيحها</w:t>
      </w:r>
    </w:p>
    <w:tbl>
      <w:tblPr>
        <w:tblStyle w:val="TableGrid"/>
        <w:tblW w:type="auto" w:w="0"/>
        <w:jc w:val="center"/>
        <w:tblLayout w:type="fixed"/>
        <w:tblLook w:firstColumn="1" w:firstRow="1" w:lastColumn="0" w:lastRow="0" w:noHBand="0" w:noVBand="1" w:val="04A0"/>
        <w:bidiVisual/>
      </w:tblPr>
      <w:tblGrid>
        <w:gridCol w:w="1995"/>
        <w:gridCol w:w="3991"/>
        <w:gridCol w:w="3991"/>
      </w:tblGrid>
      <w:tr>
        <w:tc>
          <w:tcPr>
            <w:tcW w:type="dxa" w:w="1996"/>
            <w:shd w:val="clear" w:fill="13283F"/>
          </w:tcPr>
          <w:p>
            <w:pPr>
              <w:spacing w:after="20"/>
              <w:jc w:val="both"/>
              <w:bidi w:val="1"/>
            </w:pPr>
            <w:r>
              <w:rPr>
                <w:rtl w:val="1"/>
                <w:rFonts w:cs="Arial"/>
              </w:rPr>
            </w:r>
            <w:r>
              <w:rPr>
                <w:rFonts w:ascii="Arial" w:hAnsi="Arial"/>
                <w:b/>
                <w:color w:val="FFFFFF"/>
                <w:sz w:val="17"/>
                <w:rtl w:val="1"/>
                <w:rFonts w:cs="Arial"/>
              </w:rPr>
              <w:t>الدرجة</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التعريف</w:t>
            </w:r>
          </w:p>
        </w:tc>
        <w:tc>
          <w:tcPr>
            <w:tcW w:type="dxa" w:w="3991"/>
            <w:shd w:val="clear" w:fill="13283F"/>
          </w:tcPr>
          <w:p>
            <w:pPr>
              <w:spacing w:after="20"/>
              <w:jc w:val="both"/>
              <w:bidi w:val="1"/>
            </w:pPr>
            <w:r>
              <w:rPr>
                <w:rtl w:val="1"/>
                <w:rFonts w:cs="Arial"/>
              </w:rPr>
            </w:r>
            <w:r>
              <w:rPr>
                <w:rFonts w:ascii="Arial" w:hAnsi="Arial"/>
                <w:b/>
                <w:color w:val="FFFFFF"/>
                <w:sz w:val="17"/>
                <w:rtl w:val="1"/>
                <w:rFonts w:cs="Arial"/>
              </w:rPr>
              <w:t>الاستجابة المطلوبة</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حرج</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مسألة أمنية أو تتعلق بالخصوصية أو القانون أو التنظيم أو الملكية أو البروتوكول أو النشر ذات تعرض جسيم؛ أو تعطّل الموقع/الخدمة.</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تصعيد واحتواء فوري؛ وعمل متواصل حتى الاستقرار؛ وهدف تصحيح يتفق عليه قائد الحادث.</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عالٍ</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خطأ وقائعي جوهري، أو رحلة حرجة معطّلة، أو نسخة عربية/إنجليزية غير قابلة للاستخدام، أو مسألة حقوق، أو إخفاق كبير في العلامة.</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الإقرار خلال ساعة عمل واحدة؛ وخطة تصحيح في اليوم ذاته؛ والحل قبل النشر أو الإطلاق.</w:t>
            </w:r>
          </w:p>
        </w:tc>
      </w:tr>
      <w:tr>
        <w:tc>
          <w:tcPr>
            <w:tcW w:type="dxa" w:w="1996"/>
            <w:shd w:val="clear" w:fill="F4F6F8"/>
          </w:tcPr>
          <w:p>
            <w:pPr>
              <w:spacing w:after="20"/>
              <w:jc w:val="both"/>
              <w:bidi w:val="1"/>
            </w:pPr>
            <w:r>
              <w:rPr>
                <w:rtl w:val="1"/>
                <w:rFonts w:cs="Arial"/>
              </w:rPr>
            </w:r>
            <w:r>
              <w:rPr>
                <w:rFonts w:ascii="Arial" w:hAnsi="Arial"/>
                <w:b/>
                <w:color w:val="13283F"/>
                <w:sz w:val="17"/>
                <w:rtl w:val="1"/>
                <w:rFonts w:cs="Arial"/>
              </w:rPr>
              <w:t>متوسط</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مشكلة وظيفية أو تنسيقية أو في الاتساق أو الجودة ملحوظة لكنها لا تعيق الغرض الأساسي.</w:t>
            </w:r>
          </w:p>
        </w:tc>
        <w:tc>
          <w:tcPr>
            <w:tcW w:type="dxa" w:w="3991"/>
            <w:shd w:val="clear" w:fill="F4F6F8"/>
          </w:tcPr>
          <w:p>
            <w:pPr>
              <w:spacing w:after="20"/>
              <w:jc w:val="both"/>
              <w:bidi w:val="1"/>
            </w:pPr>
            <w:r>
              <w:rPr>
                <w:rtl w:val="1"/>
                <w:rFonts w:cs="Arial"/>
              </w:rPr>
            </w:r>
            <w:r>
              <w:rPr>
                <w:rFonts w:ascii="Arial" w:hAnsi="Arial"/>
                <w:color w:val="13283F"/>
                <w:sz w:val="17"/>
                <w:rtl w:val="1"/>
                <w:rFonts w:cs="Arial"/>
              </w:rPr>
              <w:t>التسجيل والتصحيح خلال يومي عمل أو ضمن نافذة الإصدار المتفق عليها.</w:t>
            </w:r>
          </w:p>
        </w:tc>
      </w:tr>
      <w:tr>
        <w:tc>
          <w:tcPr>
            <w:tcW w:type="dxa" w:w="1996"/>
            <w:shd w:val="clear" w:fill="E9EDF1"/>
          </w:tcPr>
          <w:p>
            <w:pPr>
              <w:spacing w:after="20"/>
              <w:jc w:val="both"/>
              <w:bidi w:val="1"/>
            </w:pPr>
            <w:r>
              <w:rPr>
                <w:rtl w:val="1"/>
                <w:rFonts w:cs="Arial"/>
              </w:rPr>
            </w:r>
            <w:r>
              <w:rPr>
                <w:rFonts w:ascii="Arial" w:hAnsi="Arial"/>
                <w:b/>
                <w:color w:val="13283F"/>
                <w:sz w:val="17"/>
                <w:rtl w:val="1"/>
                <w:rFonts w:cs="Arial"/>
              </w:rPr>
              <w:t>منخفض</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مشكلة تجميلية بسيطة دون أثر ذي معنى على الاستخدام أو المعنى أو الامتثال.</w:t>
            </w:r>
          </w:p>
        </w:tc>
        <w:tc>
          <w:tcPr>
            <w:tcW w:type="dxa" w:w="3991"/>
            <w:shd w:val="clear" w:fill="E9EDF1"/>
          </w:tcPr>
          <w:p>
            <w:pPr>
              <w:spacing w:after="20"/>
              <w:jc w:val="both"/>
              <w:bidi w:val="1"/>
            </w:pPr>
            <w:r>
              <w:rPr>
                <w:rtl w:val="1"/>
                <w:rFonts w:cs="Arial"/>
              </w:rPr>
            </w:r>
            <w:r>
              <w:rPr>
                <w:rFonts w:ascii="Arial" w:hAnsi="Arial"/>
                <w:color w:val="13283F"/>
                <w:sz w:val="17"/>
                <w:rtl w:val="1"/>
                <w:rFonts w:cs="Arial"/>
              </w:rPr>
              <w:t>التصحيح في الإصدار المخطط التالي أو خلال خمسة أيام عمل.</w:t>
            </w:r>
          </w:p>
        </w:tc>
      </w:tr>
    </w:tbl>
    <w:p>
      <w:pPr>
        <w:spacing w:after="80"/>
      </w:pPr>
    </w:p>
    <w:p>
      <w:pPr>
        <w:spacing w:before="220" w:after="80"/>
        <w:jc w:val="right"/>
        <w:bidi w:val="1"/>
      </w:pPr>
      <w:r>
        <w:rPr>
          <w:rFonts w:ascii="Arial" w:hAnsi="Arial"/>
          <w:b/>
          <w:i w:val="0"/>
          <w:color w:val="13283F"/>
          <w:sz w:val="23"/>
          <w:rtl w:val="1"/>
          <w:rFonts w:cs="Arial"/>
        </w:rPr>
        <w:t>ح٤ — سجل التسليم</w:t>
      </w:r>
    </w:p>
    <w:p>
      <w:pPr>
        <w:pStyle w:val="ListBullet"/>
        <w:spacing w:before="0" w:after="40"/>
        <w:jc w:val="both"/>
        <w:bidi w:val="1"/>
      </w:pPr>
      <w:r>
        <w:rPr>
          <w:rFonts w:ascii="Arial" w:hAnsi="Arial"/>
          <w:b w:val="0"/>
          <w:i w:val="0"/>
          <w:color w:val="13283F"/>
          <w:sz w:val="18"/>
          <w:rtl w:val="1"/>
          <w:rFonts w:cs="Arial"/>
        </w:rPr>
        <w:t>وثائق الاستراتيجية والهيكل والرسائل والدليل والسياسات المعتمدة بصيغ قابلة للتحرير ونهائية.</w:t>
      </w:r>
    </w:p>
    <w:p>
      <w:pPr>
        <w:pStyle w:val="ListBullet"/>
        <w:spacing w:before="0" w:after="40"/>
        <w:jc w:val="both"/>
        <w:bidi w:val="1"/>
      </w:pPr>
      <w:r>
        <w:rPr>
          <w:rFonts w:ascii="Arial" w:hAnsi="Arial"/>
          <w:b w:val="0"/>
          <w:i w:val="0"/>
          <w:color w:val="13283F"/>
          <w:sz w:val="18"/>
          <w:rtl w:val="1"/>
          <w:rFonts w:cs="Arial"/>
        </w:rPr>
        <w:t>جميع ملفات الشعار والتصميم والحركة والتصوير والفيديو والصوت والعروض والتقارير والمحتوى الاجتماعي والحملات المصدرية مع الأصول المرتبطة.</w:t>
      </w:r>
    </w:p>
    <w:p>
      <w:pPr>
        <w:pStyle w:val="ListBullet"/>
        <w:spacing w:before="0" w:after="40"/>
        <w:jc w:val="both"/>
        <w:bidi w:val="1"/>
      </w:pPr>
      <w:r>
        <w:rPr>
          <w:rFonts w:ascii="Arial" w:hAnsi="Arial"/>
          <w:b w:val="0"/>
          <w:i w:val="0"/>
          <w:color w:val="13283F"/>
          <w:sz w:val="18"/>
          <w:rtl w:val="1"/>
          <w:rFonts w:cs="Arial"/>
        </w:rPr>
        <w:t>مكتبة تصميم الموقع والشيفرة المصدرية والمستودع والتوثيق والبيئات وبيانات الاعتماد وتصدير قاعدة البيانات/البيانات والتكاملات ووصول النطاق/الاستضافة والنسخ الاحتياطية وعملية النشر.</w:t>
      </w:r>
    </w:p>
    <w:p>
      <w:pPr>
        <w:pStyle w:val="ListBullet"/>
        <w:spacing w:before="0" w:after="40"/>
        <w:jc w:val="both"/>
        <w:bidi w:val="1"/>
      </w:pPr>
      <w:r>
        <w:rPr>
          <w:rFonts w:ascii="Arial" w:hAnsi="Arial"/>
          <w:b w:val="0"/>
          <w:i w:val="0"/>
          <w:color w:val="13283F"/>
          <w:sz w:val="18"/>
          <w:rtl w:val="1"/>
          <w:rFonts w:cs="Arial"/>
        </w:rPr>
        <w:t>النطاقات وحسابات التواصل وحسابات الإعلانات وخصائص التحليلات ومديرو الوسوم والبكسلات والجماهير ولوحات المعلومات وطرق الاسترداد تحت ملكية تسيطر عليها ثرا.</w:t>
      </w:r>
    </w:p>
    <w:p>
      <w:pPr>
        <w:pStyle w:val="ListBullet"/>
        <w:spacing w:before="0" w:after="40"/>
        <w:jc w:val="both"/>
        <w:bidi w:val="1"/>
      </w:pPr>
      <w:r>
        <w:rPr>
          <w:rFonts w:ascii="Arial" w:hAnsi="Arial"/>
          <w:b w:val="0"/>
          <w:i w:val="0"/>
          <w:color w:val="13283F"/>
          <w:sz w:val="18"/>
          <w:rtl w:val="1"/>
          <w:rFonts w:cs="Arial"/>
        </w:rPr>
        <w:t>سجل المحتوى وقاعدة البيانات الإعلامية وأرشيف التغطية والموافقات/الأذونات وجدول التراخيص وسجل الادعاءات/الأدلة وسجل القرارات وتاريخ التقارير.</w:t>
      </w:r>
    </w:p>
    <w:p>
      <w:pPr>
        <w:pStyle w:val="ListBullet"/>
        <w:spacing w:before="0" w:after="40"/>
        <w:jc w:val="both"/>
        <w:bidi w:val="1"/>
      </w:pPr>
      <w:r>
        <w:rPr>
          <w:rFonts w:ascii="Arial" w:hAnsi="Arial"/>
          <w:b w:val="0"/>
          <w:i w:val="0"/>
          <w:color w:val="13283F"/>
          <w:sz w:val="18"/>
          <w:rtl w:val="1"/>
          <w:rFonts w:cs="Arial"/>
        </w:rPr>
        <w:t>تدريب المسؤولين والمستخدمين والتسجيلات وإجراءات التشغيل ودليل استكشاف الأخطاء ودعم انتقال مسمّى.</w:t>
      </w:r>
    </w:p>
    <w:p>
      <w:pPr>
        <w:pStyle w:val="ListBullet"/>
        <w:spacing w:before="0" w:after="40"/>
        <w:jc w:val="both"/>
        <w:bidi w:val="1"/>
      </w:pPr>
      <w:r>
        <w:rPr>
          <w:rFonts w:ascii="Arial" w:hAnsi="Arial"/>
          <w:b w:val="0"/>
          <w:i w:val="0"/>
          <w:color w:val="13283F"/>
          <w:sz w:val="18"/>
          <w:rtl w:val="1"/>
          <w:rFonts w:cs="Arial"/>
        </w:rPr>
        <w:t>قائمة خطية بالاشتراكات المستمرة وتواريخ التجديد والتكاليف والمالكين وخطوات الإلغاء وأي قيود متبقية.</w:t>
      </w:r>
    </w:p>
    <w:p>
      <w:pPr>
        <w:pStyle w:val="ListBullet"/>
        <w:spacing w:before="0" w:after="40"/>
        <w:jc w:val="both"/>
        <w:bidi w:val="1"/>
      </w:pPr>
      <w:r>
        <w:rPr>
          <w:rFonts w:ascii="Arial" w:hAnsi="Arial"/>
          <w:b w:val="0"/>
          <w:i w:val="0"/>
          <w:color w:val="13283F"/>
          <w:sz w:val="18"/>
          <w:rtl w:val="1"/>
          <w:rFonts w:cs="Arial"/>
        </w:rPr>
        <w:t>إقرار من الوكالة بأن المعلومات السرية والبيانات الشخصية قد أُعيدت أو حُذفت وفق ما يقتضيه العقد.</w:t>
      </w:r>
    </w:p>
    <w:p>
      <w:pPr>
        <w:spacing w:before="220" w:after="80"/>
        <w:jc w:val="right"/>
        <w:bidi w:val="1"/>
      </w:pPr>
      <w:r>
        <w:rPr>
          <w:rFonts w:ascii="Arial" w:hAnsi="Arial"/>
          <w:b/>
          <w:i w:val="0"/>
          <w:color w:val="13283F"/>
          <w:sz w:val="23"/>
          <w:rtl w:val="1"/>
          <w:rFonts w:cs="Arial"/>
        </w:rPr>
        <w:t>ح٥ — الخروج والانتقال</w:t>
      </w:r>
    </w:p>
    <w:p>
      <w:pPr>
        <w:spacing w:before="0" w:after="100"/>
        <w:jc w:val="both"/>
        <w:bidi w:val="1"/>
      </w:pPr>
      <w:r>
        <w:rPr>
          <w:rFonts w:ascii="Arial" w:hAnsi="Arial"/>
          <w:b w:val="0"/>
          <w:i w:val="0"/>
          <w:color w:val="13283F"/>
          <w:sz w:val="18"/>
          <w:rtl w:val="1"/>
          <w:rFonts w:cs="Arial"/>
        </w:rPr>
        <w:t>على الوكالة دعم انتقال منظم لمدة تصل إلى ٣٠ يومًا تقويميًا بعد الإنهاء أو انتهاء المدة، ضمن الشروط التجارية المذكورة في العرض. ويشمل الانتقال نقل صلاحيات الوصول والجولات التعريفية وحالة الأعمال المفتوحة والتعريف بالموردين والتحقق من الأصول والبيانات والإفصاح عن المخاطر غير المحلولة والمساعدة المعقولة لمورّد بديل. ولا يجوز للوكالة حجب الوصول التشغيلي أو الملفات المصدرية أو بيانات العميل بسبب نزاع لا يتعلق بملكية تلك المواد، رهنًا بالعقد المبرم.</w:t>
      </w:r>
    </w:p>
    <w:p>
      <w:pPr>
        <w:spacing w:before="360" w:after="120"/>
        <w:jc w:val="right"/>
        <w:bidi w:val="1"/>
      </w:pPr>
      <w:r>
        <w:rPr>
          <w:rFonts w:ascii="Arial" w:hAnsi="Arial"/>
          <w:b/>
          <w:i w:val="0"/>
          <w:color w:val="13283F"/>
          <w:sz w:val="34"/>
          <w:rtl w:val="1"/>
          <w:rFonts w:cs="Arial"/>
        </w:rPr>
        <w:t>الملحق (ط) — قائمة فحص استجابة مقدم العرض</w:t>
      </w:r>
    </w:p>
    <w:p>
      <w:pPr>
        <w:spacing w:before="0" w:after="100"/>
        <w:jc w:val="both"/>
        <w:bidi w:val="1"/>
      </w:pPr>
      <w:r>
        <w:rPr>
          <w:rFonts w:ascii="Arial" w:hAnsi="Arial"/>
          <w:b w:val="0"/>
          <w:i w:val="0"/>
          <w:color w:val="13283F"/>
          <w:sz w:val="18"/>
          <w:rtl w:val="1"/>
          <w:rFonts w:cs="Arial"/>
        </w:rPr>
        <w:t>على مقدم العرض استخدام قائمة الفحص هذه كفهرس في كل عرض فني. وتحديد كل متطلب بـ«ملتزم» أو «ملتزم جزئيًا» أو «غير ملتزم» مع الإشارة إلى قسم العرض بدقة. ويجب أن يشرح الرد الجزئي أو السلبي الاستثناء والأثر والبديل والانعكاس التجاري.</w:t>
      </w:r>
    </w:p>
    <w:tbl>
      <w:tblPr>
        <w:tblStyle w:val="TableGrid"/>
        <w:tblW w:type="auto" w:w="0"/>
        <w:jc w:val="center"/>
        <w:tblLayout w:type="fixed"/>
        <w:tblLook w:firstColumn="1" w:firstRow="1" w:lastColumn="0" w:lastRow="0" w:noHBand="0" w:noVBand="1" w:val="04A0"/>
        <w:bidiVisual/>
      </w:tblPr>
      <w:tblGrid>
        <w:gridCol w:w="1108"/>
        <w:gridCol w:w="6652"/>
        <w:gridCol w:w="2217"/>
      </w:tblGrid>
      <w:tr>
        <w:tc>
          <w:tcPr>
            <w:tcW w:type="dxa" w:w="1109"/>
            <w:shd w:val="clear" w:fill="13283F"/>
          </w:tcPr>
          <w:p>
            <w:pPr>
              <w:spacing w:after="20"/>
              <w:jc w:val="both"/>
              <w:bidi w:val="1"/>
            </w:pPr>
            <w:r>
              <w:rPr>
                <w:rtl w:val="1"/>
                <w:rFonts w:cs="Arial"/>
              </w:rPr>
            </w:r>
            <w:r>
              <w:rPr>
                <w:rFonts w:ascii="Arial" w:hAnsi="Arial"/>
                <w:b/>
                <w:color w:val="FFFFFF"/>
                <w:sz w:val="17"/>
                <w:rtl w:val="1"/>
                <w:rFonts w:cs="Arial"/>
              </w:rPr>
              <w:t>#</w:t>
            </w:r>
          </w:p>
        </w:tc>
        <w:tc>
          <w:tcPr>
            <w:tcW w:type="dxa" w:w="6652"/>
            <w:shd w:val="clear" w:fill="13283F"/>
          </w:tcPr>
          <w:p>
            <w:pPr>
              <w:spacing w:after="20"/>
              <w:jc w:val="both"/>
              <w:bidi w:val="1"/>
            </w:pPr>
            <w:r>
              <w:rPr>
                <w:rtl w:val="1"/>
                <w:rFonts w:cs="Arial"/>
              </w:rPr>
            </w:r>
            <w:r>
              <w:rPr>
                <w:rFonts w:ascii="Arial" w:hAnsi="Arial"/>
                <w:b/>
                <w:color w:val="FFFFFF"/>
                <w:sz w:val="17"/>
                <w:rtl w:val="1"/>
                <w:rFonts w:cs="Arial"/>
              </w:rPr>
              <w:t>بند الاستجابة المطلوب</w:t>
            </w:r>
          </w:p>
        </w:tc>
        <w:tc>
          <w:tcPr>
            <w:tcW w:type="dxa" w:w="2217"/>
            <w:shd w:val="clear" w:fill="13283F"/>
          </w:tcPr>
          <w:p>
            <w:pPr>
              <w:spacing w:after="20"/>
              <w:jc w:val="both"/>
              <w:bidi w:val="1"/>
            </w:pPr>
            <w:r>
              <w:rPr>
                <w:rtl w:val="1"/>
                <w:rFonts w:cs="Arial"/>
              </w:rPr>
            </w:r>
            <w:r>
              <w:rPr>
                <w:rFonts w:ascii="Arial" w:hAnsi="Arial"/>
                <w:b/>
                <w:color w:val="FFFFFF"/>
                <w:sz w:val="17"/>
                <w:rtl w:val="1"/>
                <w:rFonts w:cs="Arial"/>
              </w:rPr>
              <w:t>مرجع مقدم العرض</w:t>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فهم ثرا كمنظومة متكاملة ومستقلة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فهم الكيانات الستة جميعها وجماهيرها</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٣</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منهجية التحقق والبحث</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٤</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استراتيجية العلامة والسرد ونهج الأدلة</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٥</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نهج الهيكل والتسمية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٦</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القدرة بالعربية والإنجليزية مع ممارسين أوائل مسمّين</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٧</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الهوية البصرية ونطاق التطبيقات الكامل</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٨</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هيكل الموقع ووظائفه وتقنيته وتحكم العميل</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٩</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نهج إتاحة الوصول والخصوصية والأمن السيبراني والأداء</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١٠</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استراتيجية الإطلاق وخطة الأصول والاستجابة للمسار الحرج</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١١</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نموذج خدمة العلاقات العامة والمكتب الإعلامي والمتحدثين والأزمات</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١٢</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مقترح الإدارة الاجتماعية الاختياري مفصولًا بوضوح عن الحزمة الأولى، إن قُدّم</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١٣</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هيكل القنوات الاجتماعية والنظام التحريري، إن قُدّمت الحزمة الثانية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١٤</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الطاقة الإنتاجية للمحتوى وجودته وإدارة الحقوق</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١٥</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إدارة المجتمع ومستويات الخدمة، إن قُدّمت الحزمة الثانية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١٦</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تخطيط الإعلانات المدفوعة والوصول والتحسين ونموذج الأتعاب، إن قُدّمت الحزمة الثانية</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١٧</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إطار القياس وتعريفات مؤشرات الأداء وتسليم البيانات الخام</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١٨</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نموذج الحوكمة والاعتماد والمخاطر وضبط التغيير</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١٩</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الفريق المسمّى وتوافره وموقعه والمتعاقدون من الباطن</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٢٠</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برنامج تفصيلي مع التبعيات وقرارات العميل</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٢١</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مقترح خلق قيمة ذي مصداقية مع أول ١٠٠ يوم والمقاييس والإثبات</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٢٢</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جدول تجاري مطابق لبنود القيمة مع التكاليف والتبعيات</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٢٣</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جداول تجارية كاملة والافتراضات والاستثناءات</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٢٤</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الامتثال للملكية الفكرية والملفات المصدرية والتحكم في الحسابات</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٢٥</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الامتثال للتدريب والضمان والدعم والخروج والانتقال</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٢٦</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ثلاث مراجع عملاء ذات صلة ودراسات حالة متحقق منها</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r>
        <w:tc>
          <w:tcPr>
            <w:tcW w:type="dxa" w:w="1109"/>
            <w:shd w:val="clear" w:fill="F4F6F8"/>
          </w:tcPr>
          <w:p>
            <w:pPr>
              <w:spacing w:after="20"/>
              <w:jc w:val="both"/>
              <w:bidi w:val="1"/>
            </w:pPr>
            <w:r>
              <w:rPr>
                <w:rtl w:val="1"/>
                <w:rFonts w:cs="Arial"/>
              </w:rPr>
            </w:r>
            <w:r>
              <w:rPr>
                <w:rFonts w:ascii="Arial" w:hAnsi="Arial"/>
                <w:b/>
                <w:color w:val="13283F"/>
                <w:sz w:val="17"/>
                <w:rtl w:val="1"/>
                <w:rFonts w:cs="Arial"/>
              </w:rPr>
              <w:t>٢٧</w:t>
            </w:r>
          </w:p>
        </w:tc>
        <w:tc>
          <w:tcPr>
            <w:tcW w:type="dxa" w:w="6652"/>
            <w:shd w:val="clear" w:fill="F4F6F8"/>
          </w:tcPr>
          <w:p>
            <w:pPr>
              <w:spacing w:after="20"/>
              <w:jc w:val="both"/>
              <w:bidi w:val="1"/>
            </w:pPr>
            <w:r>
              <w:rPr>
                <w:rtl w:val="1"/>
                <w:rFonts w:cs="Arial"/>
              </w:rPr>
            </w:r>
            <w:r>
              <w:rPr>
                <w:rFonts w:ascii="Arial" w:hAnsi="Arial"/>
                <w:color w:val="13283F"/>
                <w:sz w:val="17"/>
                <w:rtl w:val="1"/>
                <w:rFonts w:cs="Arial"/>
              </w:rPr>
              <w:t>الإفصاح عن تضارب المصالح والحسابات المنافسة</w:t>
            </w:r>
          </w:p>
        </w:tc>
        <w:tc>
          <w:tcPr>
            <w:tcW w:type="dxa" w:w="2217"/>
            <w:shd w:val="clear" w:fill="F4F6F8"/>
          </w:tcPr>
          <w:p>
            <w:pPr>
              <w:spacing w:after="20"/>
              <w:jc w:val="both"/>
              <w:bidi w:val="1"/>
            </w:pPr>
            <w:r>
              <w:rPr>
                <w:rtl w:val="1"/>
                <w:rFonts w:cs="Arial"/>
              </w:rPr>
            </w:r>
            <w:r>
              <w:rPr>
                <w:rFonts w:ascii="Arial" w:hAnsi="Arial"/>
                <w:color w:val="13283F"/>
                <w:sz w:val="17"/>
                <w:rtl w:val="1"/>
                <w:rFonts w:cs="Arial"/>
              </w:rPr>
            </w:r>
          </w:p>
        </w:tc>
      </w:tr>
      <w:tr>
        <w:tc>
          <w:tcPr>
            <w:tcW w:type="dxa" w:w="1109"/>
            <w:shd w:val="clear" w:fill="E9EDF1"/>
          </w:tcPr>
          <w:p>
            <w:pPr>
              <w:spacing w:after="20"/>
              <w:jc w:val="both"/>
              <w:bidi w:val="1"/>
            </w:pPr>
            <w:r>
              <w:rPr>
                <w:rtl w:val="1"/>
                <w:rFonts w:cs="Arial"/>
              </w:rPr>
            </w:r>
            <w:r>
              <w:rPr>
                <w:rFonts w:ascii="Arial" w:hAnsi="Arial"/>
                <w:b/>
                <w:color w:val="13283F"/>
                <w:sz w:val="17"/>
                <w:rtl w:val="1"/>
                <w:rFonts w:cs="Arial"/>
              </w:rPr>
              <w:t>٢٨</w:t>
            </w:r>
          </w:p>
        </w:tc>
        <w:tc>
          <w:tcPr>
            <w:tcW w:type="dxa" w:w="6652"/>
            <w:shd w:val="clear" w:fill="E9EDF1"/>
          </w:tcPr>
          <w:p>
            <w:pPr>
              <w:spacing w:after="20"/>
              <w:jc w:val="both"/>
              <w:bidi w:val="1"/>
            </w:pPr>
            <w:r>
              <w:rPr>
                <w:rtl w:val="1"/>
                <w:rFonts w:cs="Arial"/>
              </w:rPr>
            </w:r>
            <w:r>
              <w:rPr>
                <w:rFonts w:ascii="Arial" w:hAnsi="Arial"/>
                <w:color w:val="13283F"/>
                <w:sz w:val="17"/>
                <w:rtl w:val="1"/>
                <w:rFonts w:cs="Arial"/>
              </w:rPr>
              <w:t>تعهد الضمان البنكي الموقّع ووثائق أهلية المشتريات</w:t>
            </w:r>
          </w:p>
        </w:tc>
        <w:tc>
          <w:tcPr>
            <w:tcW w:type="dxa" w:w="2217"/>
            <w:shd w:val="clear" w:fill="E9EDF1"/>
          </w:tcPr>
          <w:p>
            <w:pPr>
              <w:spacing w:after="20"/>
              <w:jc w:val="both"/>
              <w:bidi w:val="1"/>
            </w:pPr>
            <w:r>
              <w:rPr>
                <w:rtl w:val="1"/>
                <w:rFonts w:cs="Arial"/>
              </w:rPr>
            </w:r>
            <w:r>
              <w:rPr>
                <w:rFonts w:ascii="Arial" w:hAnsi="Arial"/>
                <w:color w:val="13283F"/>
                <w:sz w:val="17"/>
                <w:rtl w:val="1"/>
                <w:rFonts w:cs="Arial"/>
              </w:rPr>
            </w:r>
          </w:p>
        </w:tc>
      </w:tr>
    </w:tbl>
    <w:p>
      <w:pPr>
        <w:spacing w:after="80"/>
      </w:pPr>
    </w:p>
    <w:p>
      <w:pPr>
        <w:spacing w:before="220" w:after="80"/>
        <w:jc w:val="right"/>
        <w:bidi w:val="1"/>
      </w:pPr>
      <w:r>
        <w:rPr>
          <w:rFonts w:ascii="Arial" w:hAnsi="Arial"/>
          <w:b/>
          <w:i w:val="0"/>
          <w:color w:val="13283F"/>
          <w:sz w:val="23"/>
          <w:rtl w:val="1"/>
          <w:rFonts w:cs="Arial"/>
        </w:rPr>
        <w:t>إقرار مقدم العرض</w:t>
      </w:r>
    </w:p>
    <w:p>
      <w:pPr>
        <w:spacing w:before="0" w:after="100"/>
        <w:jc w:val="both"/>
        <w:bidi w:val="1"/>
      </w:pPr>
      <w:r>
        <w:rPr>
          <w:rFonts w:ascii="Arial" w:hAnsi="Arial"/>
          <w:b w:val="0"/>
          <w:i w:val="0"/>
          <w:color w:val="13283F"/>
          <w:sz w:val="18"/>
          <w:rtl w:val="1"/>
          <w:rFonts w:cs="Arial"/>
        </w:rPr>
        <w:t>بتقديم العرض، يؤكد مقدم العرض أنه راجع النطاق كاملًا، وحدد جميع الافتراضات والاستثناءات، واقترح فريقًا مؤهلًا بشكل كافٍ، وسعّر جميع الأعمال اللازمة بشكل معقول لتحقيق المخرجات ومتطلبات القبول المذكورة. ويجب أن يظهر أي تحفظ بوضوح في العرض؛ ولا يجوز للشروط العامة أو المراسلات اللاحقة أن تتجاوز متطلبات المناقصة ضمنيًا.</w:t>
      </w:r>
    </w:p>
    <w:p>
      <w:pPr>
        <w:spacing w:before="220" w:after="80"/>
        <w:jc w:val="right"/>
        <w:bidi w:val="1"/>
      </w:pPr>
      <w:r>
        <w:rPr>
          <w:rFonts w:ascii="Arial" w:hAnsi="Arial"/>
          <w:b/>
          <w:i w:val="0"/>
          <w:color w:val="13283F"/>
          <w:sz w:val="23"/>
          <w:rtl w:val="1"/>
          <w:rFonts w:cs="Arial"/>
        </w:rPr>
        <w:t>ترتيب الأولوية</w:t>
      </w:r>
    </w:p>
    <w:p>
      <w:pPr>
        <w:spacing w:before="0" w:after="100"/>
        <w:jc w:val="both"/>
        <w:bidi w:val="1"/>
      </w:pPr>
      <w:r>
        <w:rPr>
          <w:rFonts w:ascii="Arial" w:hAnsi="Arial"/>
          <w:b w:val="0"/>
          <w:i w:val="0"/>
          <w:color w:val="13283F"/>
          <w:sz w:val="18"/>
          <w:rtl w:val="1"/>
          <w:rFonts w:cs="Arial"/>
        </w:rPr>
        <w:t>تسود وثائق المناقصة الرسمية لغرفة عجمان والملاحق الصادرة والاستيضاحات الخطية على نطاق العمل هذا في حال وجود تعارض. وضمن عرض الوكالة، تسود الاستثناءات الخطية المحددة على البيانات التسويقية العامة. ويحكم العقد النهائي، بما فيه الجداول والاستيضاحات المتفق عليها، عملية التنفيذ.</w:t>
      </w:r>
    </w:p>
    <w:sectPr w:rsidR="00FC693F" w:rsidRPr="0006063C" w:rsidSect="00034616">
      <w:headerReference w:type="default" r:id="rId9"/>
      <w:footerReference w:type="default" r:id="rId10"/>
      <w:pgSz w:w="12240" w:h="15840"/>
      <w:pgMar w:top="1009" w:right="1083" w:bottom="1009" w:left="1083" w:header="720" w:footer="720" w:gutter="0"/>
      <w:cols w:space="720"/>
      <w:docGrid w:linePitch="360"/>
      <w:bidi/>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Arial" w:hAnsi="Arial"/>
        <w:color w:val="596773"/>
        <w:sz w:val="16"/>
        <w:rtl w:val="1"/>
        <w:rFonts w:cs="Arial"/>
      </w:rPr>
      <w:t>ثرا  |  وثيقة مناقصة سرية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bidi w:val="1"/>
    </w:pPr>
    <w:r>
      <w:rPr>
        <w:rFonts w:ascii="Arial" w:hAnsi="Arial"/>
        <w:b/>
        <w:color w:val="13283F"/>
        <w:sz w:val="16"/>
        <w:rtl w:val="1"/>
        <w:rFonts w:cs="Arial"/>
      </w:rPr>
      <w:t>ثرا | نطاق العمل</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olor w:val="13283F"/>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