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19E5" w14:textId="77777777" w:rsidR="00856DF4" w:rsidRDefault="0005234B">
      <w:pPr>
        <w:jc w:val="right"/>
        <w:rPr>
          <w:rFonts w:hint="eastAsia"/>
        </w:rPr>
      </w:pPr>
      <w:r>
        <w:rPr>
          <w:b/>
          <w:color w:val="17365D"/>
          <w:sz w:val="22"/>
        </w:rPr>
        <w:t>THARAA HOLDING</w:t>
      </w:r>
    </w:p>
    <w:p w14:paraId="25BD31F2" w14:textId="77777777" w:rsidR="00856DF4" w:rsidRDefault="00856DF4">
      <w:pPr>
        <w:spacing w:after="600"/>
        <w:rPr>
          <w:rFonts w:hint="eastAsia"/>
        </w:rPr>
      </w:pPr>
    </w:p>
    <w:p w14:paraId="6631DCE4" w14:textId="77777777" w:rsidR="00856DF4" w:rsidRDefault="0005234B">
      <w:pPr>
        <w:pStyle w:val="Title"/>
      </w:pPr>
      <w:r>
        <w:rPr>
          <w:rFonts w:ascii="Aptos Display" w:hAnsi="Aptos Display"/>
        </w:rPr>
        <w:t>Request for Information for Valet Parking Services</w:t>
      </w:r>
    </w:p>
    <w:p w14:paraId="21F3F7B6" w14:textId="77777777" w:rsidR="00856DF4" w:rsidRDefault="0005234B">
      <w:pPr>
        <w:rPr>
          <w:rFonts w:hint="eastAsia"/>
        </w:rPr>
      </w:pPr>
      <w:r>
        <w:rPr>
          <w:b/>
          <w:color w:val="17365D"/>
          <w:sz w:val="26"/>
        </w:rPr>
        <w:t>Tharaa Hub  Ajman  United Arab Emirates</w:t>
      </w:r>
    </w:p>
    <w:p w14:paraId="2772D5A3" w14:textId="77777777" w:rsidR="00856DF4" w:rsidRDefault="00856DF4">
      <w:pPr>
        <w:spacing w:after="560"/>
        <w:rPr>
          <w:rFonts w:hint="eastAsia"/>
        </w:rPr>
      </w:pPr>
    </w:p>
    <w:tbl>
      <w:tblPr>
        <w:tblW w:w="0" w:type="auto"/>
        <w:jc w:val="center"/>
        <w:tblLayout w:type="fixed"/>
        <w:tblLook w:val="04A0" w:firstRow="1" w:lastRow="0" w:firstColumn="1" w:lastColumn="0" w:noHBand="0" w:noVBand="1"/>
      </w:tblPr>
      <w:tblGrid>
        <w:gridCol w:w="3024"/>
        <w:gridCol w:w="3024"/>
        <w:gridCol w:w="4032"/>
      </w:tblGrid>
      <w:tr w:rsidR="00856DF4" w14:paraId="05B5E886" w14:textId="77777777">
        <w:trPr>
          <w:tblHeader/>
          <w:jc w:val="center"/>
        </w:trPr>
        <w:tc>
          <w:tcPr>
            <w:tcW w:w="302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7B7AA3DB" w14:textId="77777777" w:rsidR="00856DF4" w:rsidRDefault="0005234B">
            <w:pPr>
              <w:jc w:val="center"/>
              <w:rPr>
                <w:rFonts w:hint="eastAsia"/>
              </w:rPr>
            </w:pPr>
            <w:r>
              <w:rPr>
                <w:b/>
                <w:color w:val="FFFFFF"/>
                <w:sz w:val="18"/>
              </w:rPr>
              <w:t>Reference</w:t>
            </w:r>
          </w:p>
        </w:tc>
        <w:tc>
          <w:tcPr>
            <w:tcW w:w="302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2AECFA00" w14:textId="77777777" w:rsidR="00856DF4" w:rsidRDefault="0005234B">
            <w:pPr>
              <w:jc w:val="center"/>
              <w:rPr>
                <w:rFonts w:hint="eastAsia"/>
              </w:rPr>
            </w:pPr>
            <w:r>
              <w:rPr>
                <w:b/>
                <w:color w:val="FFFFFF"/>
                <w:sz w:val="18"/>
              </w:rPr>
              <w:t>Issue date</w:t>
            </w:r>
          </w:p>
        </w:tc>
        <w:tc>
          <w:tcPr>
            <w:tcW w:w="403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603FABFD" w14:textId="77777777" w:rsidR="00856DF4" w:rsidRDefault="0005234B">
            <w:pPr>
              <w:jc w:val="center"/>
              <w:rPr>
                <w:rFonts w:hint="eastAsia"/>
              </w:rPr>
            </w:pPr>
            <w:r>
              <w:rPr>
                <w:b/>
                <w:color w:val="FFFFFF"/>
                <w:sz w:val="18"/>
              </w:rPr>
              <w:t>Submission deadline</w:t>
            </w:r>
          </w:p>
        </w:tc>
      </w:tr>
      <w:tr w:rsidR="00856DF4" w14:paraId="2E6E74DD" w14:textId="77777777">
        <w:trPr>
          <w:jc w:val="center"/>
        </w:trPr>
        <w:tc>
          <w:tcPr>
            <w:tcW w:w="302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EA60777" w14:textId="77777777" w:rsidR="00856DF4" w:rsidRDefault="0005234B">
            <w:pPr>
              <w:rPr>
                <w:rFonts w:hint="eastAsia"/>
              </w:rPr>
            </w:pPr>
            <w:r>
              <w:rPr>
                <w:color w:val="000000"/>
                <w:sz w:val="18"/>
              </w:rPr>
              <w:t>TH RFI VP 2026 01</w:t>
            </w:r>
          </w:p>
        </w:tc>
        <w:tc>
          <w:tcPr>
            <w:tcW w:w="302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32792F35" w14:textId="77777777" w:rsidR="00856DF4" w:rsidRDefault="0005234B">
            <w:pPr>
              <w:rPr>
                <w:rFonts w:hint="eastAsia"/>
              </w:rPr>
            </w:pPr>
            <w:r>
              <w:rPr>
                <w:color w:val="000000"/>
                <w:sz w:val="18"/>
              </w:rPr>
              <w:t>18 September 2026</w:t>
            </w:r>
          </w:p>
        </w:tc>
        <w:tc>
          <w:tcPr>
            <w:tcW w:w="40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E14C8F6" w14:textId="77777777" w:rsidR="00856DF4" w:rsidRDefault="0005234B">
            <w:pPr>
              <w:rPr>
                <w:rFonts w:hint="eastAsia"/>
              </w:rPr>
            </w:pPr>
            <w:r>
              <w:rPr>
                <w:color w:val="000000"/>
                <w:sz w:val="18"/>
              </w:rPr>
              <w:t>2 October 2026 at 1:00 PM UAE time</w:t>
            </w:r>
          </w:p>
        </w:tc>
      </w:tr>
    </w:tbl>
    <w:p w14:paraId="5E86008D" w14:textId="77777777" w:rsidR="00856DF4" w:rsidRDefault="00856DF4">
      <w:pPr>
        <w:spacing w:after="0"/>
        <w:rPr>
          <w:rFonts w:hint="eastAsia"/>
        </w:rPr>
      </w:pPr>
    </w:p>
    <w:p w14:paraId="55CFF8E3" w14:textId="77777777" w:rsidR="00856DF4" w:rsidRDefault="0005234B">
      <w:pPr>
        <w:spacing w:after="120" w:line="259" w:lineRule="auto"/>
        <w:rPr>
          <w:rFonts w:hint="eastAsia"/>
        </w:rPr>
      </w:pPr>
      <w:r>
        <w:rPr>
          <w:color w:val="000000"/>
        </w:rPr>
        <w:t>Tharaa Holding invites qualified valet parking operators to register their interest and provide capability, operating and indicative commercial information for the planned valet parking services at Tharaa Hub in Ajman.</w:t>
      </w:r>
    </w:p>
    <w:p w14:paraId="268C0A3D" w14:textId="77777777" w:rsidR="00856DF4" w:rsidRDefault="0005234B">
      <w:pPr>
        <w:spacing w:after="120" w:line="259" w:lineRule="auto"/>
        <w:rPr>
          <w:rFonts w:hint="eastAsia"/>
        </w:rPr>
      </w:pPr>
      <w:r>
        <w:rPr>
          <w:color w:val="000000"/>
        </w:rPr>
        <w:t>This RFI is intended to identify capable operators and inform the structure of a subsequent procurement process. It is not a request for a binding quotation and does not constitute a commitment to award a contract.</w:t>
      </w:r>
    </w:p>
    <w:p w14:paraId="65717D9B" w14:textId="77777777" w:rsidR="00856DF4" w:rsidRDefault="0005234B">
      <w:pPr>
        <w:rPr>
          <w:rFonts w:hint="eastAsia"/>
        </w:rPr>
      </w:pPr>
      <w:r>
        <w:br w:type="page"/>
      </w:r>
    </w:p>
    <w:p w14:paraId="4DEC8D08" w14:textId="77777777" w:rsidR="00856DF4" w:rsidRDefault="0005234B">
      <w:pPr>
        <w:pStyle w:val="Heading1"/>
      </w:pPr>
      <w:r>
        <w:lastRenderedPageBreak/>
        <w:t>1 RFI purpose</w:t>
      </w:r>
    </w:p>
    <w:p w14:paraId="06EB5110" w14:textId="77777777" w:rsidR="00856DF4" w:rsidRDefault="0005234B">
      <w:pPr>
        <w:spacing w:after="120" w:line="259" w:lineRule="auto"/>
        <w:rPr>
          <w:rFonts w:hint="eastAsia"/>
        </w:rPr>
      </w:pPr>
      <w:r>
        <w:rPr>
          <w:color w:val="000000"/>
        </w:rPr>
        <w:t>Tharaa Holding is assessing the market for an experienced operator to plan, mobilise and manage a safe, efficient and customer-focused valet parking service at Tharaa Hub. The selected operating model must support daily visitors, founders, tenants, investors, government representatives, employees, event delegates and VIP guests while protecting vehicles, customers and the reputation of Tharaa.</w:t>
      </w:r>
    </w:p>
    <w:p w14:paraId="0C918E89" w14:textId="77777777" w:rsidR="00856DF4" w:rsidRDefault="0005234B">
      <w:pPr>
        <w:spacing w:after="120" w:line="259" w:lineRule="auto"/>
        <w:rPr>
          <w:rFonts w:hint="eastAsia"/>
        </w:rPr>
      </w:pPr>
      <w:r>
        <w:rPr>
          <w:color w:val="000000"/>
        </w:rPr>
        <w:t>Through this RFI, Tharaa seeks to understand operator capacity, relevant experience, proposed service models, technology, staffing, risk controls, mobilisation requirements and indicative commercial structures. Information received may be used to refine the scope and qualification requirements for a future RFP or tender.</w:t>
      </w:r>
    </w:p>
    <w:p w14:paraId="4715C854" w14:textId="77777777" w:rsidR="00856DF4" w:rsidRDefault="0005234B">
      <w:pPr>
        <w:pStyle w:val="Heading1"/>
      </w:pPr>
      <w:r>
        <w:t>2 About Tharaa</w:t>
      </w:r>
    </w:p>
    <w:p w14:paraId="29B31EF3" w14:textId="77777777" w:rsidR="00856DF4" w:rsidRDefault="0005234B">
      <w:pPr>
        <w:spacing w:after="120" w:line="259" w:lineRule="auto"/>
        <w:rPr>
          <w:rFonts w:hint="eastAsia"/>
        </w:rPr>
      </w:pPr>
      <w:r>
        <w:rPr>
          <w:color w:val="000000"/>
        </w:rPr>
        <w:t>Tharaa is a government-backed entrepreneurship and investment ecosystem based in Ajman. Its platform brings together Tharaa Holding, Tharaa Hub, Tharaa X, Tharaa Capital, Tharaa Xperience and Tharaa Foundation to support founders and businesses from establishment through growth, investment and market expansion.</w:t>
      </w:r>
    </w:p>
    <w:p w14:paraId="57B72159" w14:textId="77777777" w:rsidR="00856DF4" w:rsidRDefault="0005234B">
      <w:pPr>
        <w:spacing w:after="120" w:line="259" w:lineRule="auto"/>
        <w:rPr>
          <w:rFonts w:hint="eastAsia"/>
        </w:rPr>
      </w:pPr>
      <w:r>
        <w:rPr>
          <w:color w:val="000000"/>
        </w:rPr>
        <w:t>Tharaa Hub will host office users, startups, investors, corporate and government partners, programmes, meetings, community activities and events. The valet operation must therefore be scalable and capable of supporting ordinary operating days as well as periods of high demand.</w:t>
      </w:r>
    </w:p>
    <w:p w14:paraId="278741B4" w14:textId="77777777" w:rsidR="00856DF4" w:rsidRDefault="0005234B">
      <w:pPr>
        <w:pStyle w:val="Heading1"/>
      </w:pPr>
      <w:r>
        <w:t>3 Nature of the opportunity</w:t>
      </w:r>
    </w:p>
    <w:p w14:paraId="0AF05F39" w14:textId="77777777" w:rsidR="00856DF4" w:rsidRDefault="0005234B">
      <w:pPr>
        <w:spacing w:after="120" w:line="259" w:lineRule="auto"/>
        <w:rPr>
          <w:rFonts w:hint="eastAsia"/>
        </w:rPr>
      </w:pPr>
      <w:r>
        <w:rPr>
          <w:color w:val="000000"/>
        </w:rPr>
        <w:t>Tharaa intends to appoint one qualified service provider with full operational responsibility for the valet parking service. The operator would manage the complete customer journey from vehicle reception to secure parking and vehicle return, including staffing, supervision, technology, cashless payments where applicable, insurance, incident management, reporting and service quality.</w:t>
      </w:r>
    </w:p>
    <w:p w14:paraId="4281D676" w14:textId="77777777" w:rsidR="00856DF4" w:rsidRDefault="0005234B">
      <w:pPr>
        <w:pStyle w:val="ListBullet"/>
        <w:spacing w:after="60"/>
        <w:rPr>
          <w:rFonts w:hint="eastAsia"/>
        </w:rPr>
      </w:pPr>
      <w:r>
        <w:rPr>
          <w:color w:val="000000"/>
        </w:rPr>
        <w:t>Routine weekday and weekend operations aligned with Tharaa Hub opening hours.</w:t>
      </w:r>
    </w:p>
    <w:p w14:paraId="0A0D5505" w14:textId="77777777" w:rsidR="00856DF4" w:rsidRDefault="0005234B">
      <w:pPr>
        <w:pStyle w:val="ListBullet"/>
        <w:spacing w:after="60"/>
        <w:rPr>
          <w:rFonts w:hint="eastAsia"/>
        </w:rPr>
      </w:pPr>
      <w:r>
        <w:rPr>
          <w:color w:val="000000"/>
        </w:rPr>
        <w:t>Flexible coverage for evening programmes, launches, conferences, investor meetings and community events.</w:t>
      </w:r>
    </w:p>
    <w:p w14:paraId="3C8366BA" w14:textId="77777777" w:rsidR="00856DF4" w:rsidRDefault="0005234B">
      <w:pPr>
        <w:pStyle w:val="ListBullet"/>
        <w:spacing w:after="60"/>
        <w:rPr>
          <w:rFonts w:hint="eastAsia"/>
        </w:rPr>
      </w:pPr>
      <w:r>
        <w:rPr>
          <w:color w:val="000000"/>
        </w:rPr>
        <w:t>VIP and protocol-ready service for senior government officials, investors, speakers and invited guests.</w:t>
      </w:r>
    </w:p>
    <w:p w14:paraId="1808B31B" w14:textId="77777777" w:rsidR="00856DF4" w:rsidRDefault="0005234B">
      <w:pPr>
        <w:pStyle w:val="ListBullet"/>
        <w:spacing w:after="60"/>
        <w:rPr>
          <w:rFonts w:hint="eastAsia"/>
        </w:rPr>
      </w:pPr>
      <w:r>
        <w:rPr>
          <w:color w:val="000000"/>
        </w:rPr>
        <w:t>Ability to scale staffing and traffic controls for forecast and unplanned demand peaks.</w:t>
      </w:r>
    </w:p>
    <w:p w14:paraId="20CBDBDE" w14:textId="77777777" w:rsidR="00856DF4" w:rsidRDefault="0005234B">
      <w:pPr>
        <w:pStyle w:val="ListBullet"/>
        <w:spacing w:after="60"/>
        <w:rPr>
          <w:rFonts w:hint="eastAsia"/>
        </w:rPr>
      </w:pPr>
      <w:r>
        <w:rPr>
          <w:color w:val="000000"/>
        </w:rPr>
        <w:t>Coordination with Tharaa, building management, security, facilities management and event teams.</w:t>
      </w:r>
    </w:p>
    <w:p w14:paraId="47BE8AF2" w14:textId="77777777" w:rsidR="00856DF4" w:rsidRDefault="0005234B">
      <w:pPr>
        <w:pStyle w:val="Heading1"/>
      </w:pPr>
      <w:r>
        <w:t>4 Indicative service scope</w:t>
      </w:r>
    </w:p>
    <w:p w14:paraId="73E541B3" w14:textId="77777777" w:rsidR="00856DF4" w:rsidRDefault="0005234B">
      <w:pPr>
        <w:pStyle w:val="Heading2"/>
      </w:pPr>
      <w:r>
        <w:t>4.1 Operating planning and mobilisation</w:t>
      </w:r>
    </w:p>
    <w:p w14:paraId="3D165D6C" w14:textId="77777777" w:rsidR="00856DF4" w:rsidRDefault="0005234B">
      <w:pPr>
        <w:pStyle w:val="ListBullet"/>
        <w:spacing w:after="60"/>
        <w:rPr>
          <w:rFonts w:hint="eastAsia"/>
        </w:rPr>
      </w:pPr>
      <w:r>
        <w:rPr>
          <w:color w:val="000000"/>
        </w:rPr>
        <w:t>Conduct a site and traffic-flow assessment and recommend reception, queuing, vehicle handover, parking and retrieval arrangements.</w:t>
      </w:r>
    </w:p>
    <w:p w14:paraId="1E0AD992" w14:textId="77777777" w:rsidR="00856DF4" w:rsidRDefault="0005234B">
      <w:pPr>
        <w:pStyle w:val="ListBullet"/>
        <w:spacing w:after="60"/>
        <w:rPr>
          <w:rFonts w:hint="eastAsia"/>
        </w:rPr>
      </w:pPr>
      <w:r>
        <w:rPr>
          <w:color w:val="000000"/>
        </w:rPr>
        <w:t>Prepare an operating plan, standard operating procedures, risk assessments, escalation matrix and mobilisation programme.</w:t>
      </w:r>
    </w:p>
    <w:p w14:paraId="214967A5" w14:textId="77777777" w:rsidR="00856DF4" w:rsidRDefault="0005234B">
      <w:pPr>
        <w:pStyle w:val="ListBullet"/>
        <w:spacing w:after="60"/>
        <w:rPr>
          <w:rFonts w:hint="eastAsia"/>
        </w:rPr>
      </w:pPr>
      <w:r>
        <w:rPr>
          <w:color w:val="000000"/>
        </w:rPr>
        <w:t>Identify required permits, approvals, access arrangements, signage, uniforms, equipment, technology and supporting infrastructure.</w:t>
      </w:r>
    </w:p>
    <w:p w14:paraId="1819E1DC" w14:textId="77777777" w:rsidR="00856DF4" w:rsidRDefault="0005234B">
      <w:pPr>
        <w:pStyle w:val="ListBullet"/>
        <w:spacing w:after="60"/>
        <w:rPr>
          <w:rFonts w:hint="eastAsia"/>
        </w:rPr>
      </w:pPr>
      <w:r>
        <w:rPr>
          <w:color w:val="000000"/>
        </w:rPr>
        <w:t>Coordinate dry runs and operational-readiness testing before service commencement.</w:t>
      </w:r>
    </w:p>
    <w:p w14:paraId="33FA8240" w14:textId="77777777" w:rsidR="00856DF4" w:rsidRDefault="0005234B">
      <w:pPr>
        <w:pStyle w:val="Heading2"/>
      </w:pPr>
      <w:r>
        <w:t>4.2 Daily valet operations</w:t>
      </w:r>
    </w:p>
    <w:p w14:paraId="2C63961C" w14:textId="77777777" w:rsidR="00856DF4" w:rsidRDefault="0005234B">
      <w:pPr>
        <w:pStyle w:val="ListBullet"/>
        <w:spacing w:after="60"/>
        <w:rPr>
          <w:rFonts w:hint="eastAsia"/>
        </w:rPr>
      </w:pPr>
      <w:r>
        <w:rPr>
          <w:color w:val="000000"/>
        </w:rPr>
        <w:t>Receive vehicles, record vehicle condition and issue secure digital or physical claim records.</w:t>
      </w:r>
    </w:p>
    <w:p w14:paraId="0382873E" w14:textId="77777777" w:rsidR="00856DF4" w:rsidRDefault="0005234B">
      <w:pPr>
        <w:pStyle w:val="ListBullet"/>
        <w:spacing w:after="60"/>
        <w:rPr>
          <w:rFonts w:hint="eastAsia"/>
        </w:rPr>
      </w:pPr>
      <w:r>
        <w:rPr>
          <w:color w:val="000000"/>
        </w:rPr>
        <w:t>Park, safeguard, locate and retrieve vehicles within agreed service times.</w:t>
      </w:r>
    </w:p>
    <w:p w14:paraId="418B0B8C" w14:textId="77777777" w:rsidR="00856DF4" w:rsidRDefault="0005234B">
      <w:pPr>
        <w:pStyle w:val="ListBullet"/>
        <w:spacing w:after="60"/>
        <w:rPr>
          <w:rFonts w:hint="eastAsia"/>
        </w:rPr>
      </w:pPr>
      <w:r>
        <w:rPr>
          <w:color w:val="000000"/>
        </w:rPr>
        <w:lastRenderedPageBreak/>
        <w:t>Provide trained drivers, traffic marshals, supervisors and an accountable contract manager.</w:t>
      </w:r>
    </w:p>
    <w:p w14:paraId="0E46D247" w14:textId="77777777" w:rsidR="00856DF4" w:rsidRDefault="0005234B">
      <w:pPr>
        <w:pStyle w:val="ListBullet"/>
        <w:spacing w:after="60"/>
        <w:rPr>
          <w:rFonts w:hint="eastAsia"/>
        </w:rPr>
      </w:pPr>
      <w:r>
        <w:rPr>
          <w:color w:val="000000"/>
        </w:rPr>
        <w:t>Manage keys securely with controlled custody, access logs and handover records.</w:t>
      </w:r>
    </w:p>
    <w:p w14:paraId="4DFDAE28" w14:textId="77777777" w:rsidR="00856DF4" w:rsidRDefault="0005234B">
      <w:pPr>
        <w:pStyle w:val="ListBullet"/>
        <w:spacing w:after="60"/>
        <w:rPr>
          <w:rFonts w:hint="eastAsia"/>
        </w:rPr>
      </w:pPr>
      <w:r>
        <w:rPr>
          <w:color w:val="000000"/>
        </w:rPr>
        <w:t>Maintain orderly vehicle and pedestrian circulation and prevent obstruction of emergency access routes.</w:t>
      </w:r>
    </w:p>
    <w:p w14:paraId="180F0F7F" w14:textId="77777777" w:rsidR="00856DF4" w:rsidRDefault="0005234B">
      <w:pPr>
        <w:pStyle w:val="ListBullet"/>
        <w:spacing w:after="60"/>
        <w:rPr>
          <w:rFonts w:hint="eastAsia"/>
        </w:rPr>
      </w:pPr>
      <w:r>
        <w:rPr>
          <w:color w:val="000000"/>
        </w:rPr>
        <w:t>Support customers with disabilities, families, elderly visitors and other users requiring assistance.</w:t>
      </w:r>
    </w:p>
    <w:p w14:paraId="14D2423F" w14:textId="77777777" w:rsidR="00856DF4" w:rsidRDefault="0005234B">
      <w:pPr>
        <w:pStyle w:val="ListBullet"/>
        <w:spacing w:after="60"/>
        <w:rPr>
          <w:rFonts w:hint="eastAsia"/>
        </w:rPr>
      </w:pPr>
      <w:r>
        <w:rPr>
          <w:color w:val="000000"/>
        </w:rPr>
        <w:t>Provide contingency arrangements for demand surges, adverse weather, technology failure and staffing shortages.</w:t>
      </w:r>
    </w:p>
    <w:p w14:paraId="61442CD2" w14:textId="77777777" w:rsidR="00856DF4" w:rsidRDefault="0005234B">
      <w:pPr>
        <w:pStyle w:val="Heading2"/>
      </w:pPr>
      <w:r>
        <w:t>4.3 Events and VIP operations</w:t>
      </w:r>
    </w:p>
    <w:p w14:paraId="0F786E80" w14:textId="77777777" w:rsidR="00856DF4" w:rsidRDefault="0005234B">
      <w:pPr>
        <w:pStyle w:val="ListBullet"/>
        <w:spacing w:after="60"/>
        <w:rPr>
          <w:rFonts w:hint="eastAsia"/>
        </w:rPr>
      </w:pPr>
      <w:r>
        <w:rPr>
          <w:color w:val="000000"/>
        </w:rPr>
        <w:t>Prepare event-specific deployment and traffic management plans based on expected attendance and arrival profiles.</w:t>
      </w:r>
    </w:p>
    <w:p w14:paraId="1A33E1CB" w14:textId="77777777" w:rsidR="00856DF4" w:rsidRDefault="0005234B">
      <w:pPr>
        <w:pStyle w:val="ListBullet"/>
        <w:spacing w:after="60"/>
        <w:rPr>
          <w:rFonts w:hint="eastAsia"/>
        </w:rPr>
      </w:pPr>
      <w:r>
        <w:rPr>
          <w:color w:val="000000"/>
        </w:rPr>
        <w:t>Provide temporary staffing, signage, queue controls, radio communications and supervisor coverage.</w:t>
      </w:r>
    </w:p>
    <w:p w14:paraId="5369F28D" w14:textId="77777777" w:rsidR="00856DF4" w:rsidRDefault="0005234B">
      <w:pPr>
        <w:pStyle w:val="ListBullet"/>
        <w:spacing w:after="60"/>
        <w:rPr>
          <w:rFonts w:hint="eastAsia"/>
        </w:rPr>
      </w:pPr>
      <w:r>
        <w:rPr>
          <w:color w:val="000000"/>
        </w:rPr>
        <w:t>Operate reserved or priority handling lanes when requested by Tharaa.</w:t>
      </w:r>
    </w:p>
    <w:p w14:paraId="228AE1D8" w14:textId="77777777" w:rsidR="00856DF4" w:rsidRDefault="0005234B">
      <w:pPr>
        <w:pStyle w:val="ListBullet"/>
        <w:spacing w:after="60"/>
        <w:rPr>
          <w:rFonts w:hint="eastAsia"/>
        </w:rPr>
      </w:pPr>
      <w:r>
        <w:rPr>
          <w:color w:val="000000"/>
        </w:rPr>
        <w:t>Coordinate arrival and departure movements with security, protocol and event-management teams.</w:t>
      </w:r>
    </w:p>
    <w:p w14:paraId="4506CE0C" w14:textId="77777777" w:rsidR="00856DF4" w:rsidRDefault="0005234B">
      <w:pPr>
        <w:pStyle w:val="Heading2"/>
      </w:pPr>
      <w:r>
        <w:t>4.4 Technology and reporting</w:t>
      </w:r>
    </w:p>
    <w:p w14:paraId="311B6D24" w14:textId="77777777" w:rsidR="00856DF4" w:rsidRDefault="0005234B">
      <w:pPr>
        <w:pStyle w:val="ListBullet"/>
        <w:spacing w:after="60"/>
        <w:rPr>
          <w:rFonts w:hint="eastAsia"/>
        </w:rPr>
      </w:pPr>
      <w:r>
        <w:rPr>
          <w:color w:val="000000"/>
        </w:rPr>
        <w:t>Digital vehicle check-in and retrieval request capability, preferably using QR, SMS or mobile-based workflows.</w:t>
      </w:r>
    </w:p>
    <w:p w14:paraId="0436BC33" w14:textId="77777777" w:rsidR="00856DF4" w:rsidRDefault="0005234B">
      <w:pPr>
        <w:pStyle w:val="ListBullet"/>
        <w:spacing w:after="60"/>
        <w:rPr>
          <w:rFonts w:hint="eastAsia"/>
        </w:rPr>
      </w:pPr>
      <w:r>
        <w:rPr>
          <w:color w:val="000000"/>
        </w:rPr>
        <w:t>Time stamps for arrival, parking, retrieval request and vehicle handover.</w:t>
      </w:r>
    </w:p>
    <w:p w14:paraId="42DE93E5" w14:textId="77777777" w:rsidR="00856DF4" w:rsidRDefault="0005234B">
      <w:pPr>
        <w:pStyle w:val="ListBullet"/>
        <w:spacing w:after="60"/>
        <w:rPr>
          <w:rFonts w:hint="eastAsia"/>
        </w:rPr>
      </w:pPr>
      <w:r>
        <w:rPr>
          <w:color w:val="000000"/>
        </w:rPr>
        <w:t>Photographic vehicle-condition recording and incident evidence retention.</w:t>
      </w:r>
    </w:p>
    <w:p w14:paraId="6FDC87D6" w14:textId="77777777" w:rsidR="00856DF4" w:rsidRDefault="0005234B">
      <w:pPr>
        <w:pStyle w:val="ListBullet"/>
        <w:spacing w:after="60"/>
        <w:rPr>
          <w:rFonts w:hint="eastAsia"/>
        </w:rPr>
      </w:pPr>
      <w:r>
        <w:rPr>
          <w:color w:val="000000"/>
        </w:rPr>
        <w:t>Real-time or periodic dashboards for vehicle volume, peak demand, waiting time, incidents, complaints and revenue where applicable.</w:t>
      </w:r>
    </w:p>
    <w:p w14:paraId="7A54202A" w14:textId="77777777" w:rsidR="00856DF4" w:rsidRDefault="0005234B">
      <w:pPr>
        <w:pStyle w:val="ListBullet"/>
        <w:spacing w:after="60"/>
        <w:rPr>
          <w:rFonts w:hint="eastAsia"/>
        </w:rPr>
      </w:pPr>
      <w:r>
        <w:rPr>
          <w:color w:val="000000"/>
        </w:rPr>
        <w:t>Data-protection, cybersecurity, access-control, retention and business-continuity arrangements appropriate to the proposed system.</w:t>
      </w:r>
    </w:p>
    <w:p w14:paraId="0862DC07" w14:textId="77777777" w:rsidR="00856DF4" w:rsidRDefault="0005234B">
      <w:pPr>
        <w:pStyle w:val="Heading1"/>
      </w:pPr>
      <w:r>
        <w:t>5 Service and control requirements</w:t>
      </w:r>
    </w:p>
    <w:tbl>
      <w:tblPr>
        <w:tblW w:w="0" w:type="auto"/>
        <w:jc w:val="center"/>
        <w:tblLayout w:type="fixed"/>
        <w:tblLook w:val="04A0" w:firstRow="1" w:lastRow="0" w:firstColumn="1" w:lastColumn="0" w:noHBand="0" w:noVBand="1"/>
      </w:tblPr>
      <w:tblGrid>
        <w:gridCol w:w="2232"/>
        <w:gridCol w:w="7704"/>
      </w:tblGrid>
      <w:tr w:rsidR="00856DF4" w14:paraId="292FE507" w14:textId="77777777">
        <w:trPr>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539FBA41" w14:textId="77777777" w:rsidR="00856DF4" w:rsidRDefault="0005234B">
            <w:pPr>
              <w:jc w:val="center"/>
              <w:rPr>
                <w:rFonts w:hint="eastAsia"/>
              </w:rPr>
            </w:pPr>
            <w:r>
              <w:rPr>
                <w:b/>
                <w:color w:val="FFFFFF"/>
                <w:sz w:val="18"/>
              </w:rPr>
              <w:t>Area</w:t>
            </w:r>
          </w:p>
        </w:tc>
        <w:tc>
          <w:tcPr>
            <w:tcW w:w="770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31B934EB" w14:textId="77777777" w:rsidR="00856DF4" w:rsidRDefault="0005234B">
            <w:pPr>
              <w:jc w:val="center"/>
              <w:rPr>
                <w:rFonts w:hint="eastAsia"/>
              </w:rPr>
            </w:pPr>
            <w:r>
              <w:rPr>
                <w:b/>
                <w:color w:val="FFFFFF"/>
                <w:sz w:val="18"/>
              </w:rPr>
              <w:t>Information requested from respondent</w:t>
            </w:r>
          </w:p>
        </w:tc>
      </w:tr>
      <w:tr w:rsidR="00856DF4" w14:paraId="76CD89DB"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D72063A" w14:textId="77777777" w:rsidR="00856DF4" w:rsidRDefault="0005234B">
            <w:pPr>
              <w:rPr>
                <w:rFonts w:hint="eastAsia"/>
              </w:rPr>
            </w:pPr>
            <w:r>
              <w:rPr>
                <w:color w:val="000000"/>
                <w:sz w:val="18"/>
              </w:rPr>
              <w:t>Customer experience</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A6599E5" w14:textId="77777777" w:rsidR="00856DF4" w:rsidRDefault="0005234B">
            <w:pPr>
              <w:rPr>
                <w:rFonts w:hint="eastAsia"/>
              </w:rPr>
            </w:pPr>
            <w:r>
              <w:rPr>
                <w:color w:val="000000"/>
                <w:sz w:val="18"/>
              </w:rPr>
              <w:t>Proposed greeting, vehicle-receipt, retrieval, complaint and service-recovery standards, including target waiting times.</w:t>
            </w:r>
          </w:p>
        </w:tc>
      </w:tr>
      <w:tr w:rsidR="00856DF4" w14:paraId="3C4C9907"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62E8215" w14:textId="77777777" w:rsidR="00856DF4" w:rsidRDefault="0005234B">
            <w:pPr>
              <w:rPr>
                <w:rFonts w:hint="eastAsia"/>
              </w:rPr>
            </w:pPr>
            <w:r>
              <w:rPr>
                <w:color w:val="000000"/>
                <w:sz w:val="18"/>
              </w:rPr>
              <w:t>Staffing</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1412C49" w14:textId="77777777" w:rsidR="00856DF4" w:rsidRDefault="0005234B">
            <w:pPr>
              <w:rPr>
                <w:rFonts w:hint="eastAsia"/>
              </w:rPr>
            </w:pPr>
            <w:r>
              <w:rPr>
                <w:color w:val="000000"/>
                <w:sz w:val="18"/>
              </w:rPr>
              <w:t>Role structure, shift model, supervisor ratios, peak-demand scaling, recruitment controls, training and replacement coverage.</w:t>
            </w:r>
          </w:p>
        </w:tc>
      </w:tr>
      <w:tr w:rsidR="00856DF4" w14:paraId="02D73CF1"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1977756" w14:textId="77777777" w:rsidR="00856DF4" w:rsidRDefault="0005234B">
            <w:pPr>
              <w:rPr>
                <w:rFonts w:hint="eastAsia"/>
              </w:rPr>
            </w:pPr>
            <w:r>
              <w:rPr>
                <w:color w:val="000000"/>
                <w:sz w:val="18"/>
              </w:rPr>
              <w:t>Driver controls</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ACA02B9" w14:textId="77777777" w:rsidR="00856DF4" w:rsidRDefault="0005234B">
            <w:pPr>
              <w:rPr>
                <w:rFonts w:hint="eastAsia"/>
              </w:rPr>
            </w:pPr>
            <w:r>
              <w:rPr>
                <w:color w:val="000000"/>
                <w:sz w:val="18"/>
              </w:rPr>
              <w:t>Minimum age and experience, UAE driving-licence verification, background screening, medical fitness and driving-record checks.</w:t>
            </w:r>
          </w:p>
        </w:tc>
      </w:tr>
      <w:tr w:rsidR="00856DF4" w14:paraId="645FD83E"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164992D7" w14:textId="77777777" w:rsidR="00856DF4" w:rsidRDefault="0005234B">
            <w:pPr>
              <w:rPr>
                <w:rFonts w:hint="eastAsia"/>
              </w:rPr>
            </w:pPr>
            <w:r>
              <w:rPr>
                <w:color w:val="000000"/>
                <w:sz w:val="18"/>
              </w:rPr>
              <w:t>Vehicle protection</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1F92F8CF" w14:textId="77777777" w:rsidR="00856DF4" w:rsidRDefault="0005234B">
            <w:pPr>
              <w:rPr>
                <w:rFonts w:hint="eastAsia"/>
              </w:rPr>
            </w:pPr>
            <w:r>
              <w:rPr>
                <w:color w:val="000000"/>
                <w:sz w:val="18"/>
              </w:rPr>
              <w:t>Condition recording, key custody, restricted access, vehicle movement controls and procedures for high-value or unusual vehicles.</w:t>
            </w:r>
          </w:p>
        </w:tc>
      </w:tr>
      <w:tr w:rsidR="00856DF4" w14:paraId="0EC61B76"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BF7A175" w14:textId="77777777" w:rsidR="00856DF4" w:rsidRDefault="0005234B">
            <w:pPr>
              <w:rPr>
                <w:rFonts w:hint="eastAsia"/>
              </w:rPr>
            </w:pPr>
            <w:r>
              <w:rPr>
                <w:color w:val="000000"/>
                <w:sz w:val="18"/>
              </w:rPr>
              <w:t>Safety</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5F9E4A9" w14:textId="77777777" w:rsidR="00856DF4" w:rsidRDefault="0005234B">
            <w:pPr>
              <w:rPr>
                <w:rFonts w:hint="eastAsia"/>
              </w:rPr>
            </w:pPr>
            <w:r>
              <w:rPr>
                <w:color w:val="000000"/>
                <w:sz w:val="18"/>
              </w:rPr>
              <w:t>Risk assessments, pedestrian protection, traffic management, emergency coordination, first aid and accident response.</w:t>
            </w:r>
          </w:p>
        </w:tc>
      </w:tr>
      <w:tr w:rsidR="00856DF4" w14:paraId="161232A2"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61183F47" w14:textId="77777777" w:rsidR="00856DF4" w:rsidRDefault="0005234B">
            <w:pPr>
              <w:rPr>
                <w:rFonts w:hint="eastAsia"/>
              </w:rPr>
            </w:pPr>
            <w:r>
              <w:rPr>
                <w:color w:val="000000"/>
                <w:sz w:val="18"/>
              </w:rPr>
              <w:t>Insurance</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A407695" w14:textId="77777777" w:rsidR="00856DF4" w:rsidRDefault="0005234B">
            <w:pPr>
              <w:rPr>
                <w:rFonts w:hint="eastAsia"/>
              </w:rPr>
            </w:pPr>
            <w:r>
              <w:rPr>
                <w:color w:val="000000"/>
                <w:sz w:val="18"/>
              </w:rPr>
              <w:t xml:space="preserve">Motor trade or equivalent cover, public liability, employer liability, fidelity or crime cover and </w:t>
            </w:r>
            <w:r>
              <w:rPr>
                <w:color w:val="000000"/>
                <w:sz w:val="18"/>
              </w:rPr>
              <w:lastRenderedPageBreak/>
              <w:t>proposed liability limits.</w:t>
            </w:r>
          </w:p>
        </w:tc>
      </w:tr>
      <w:tr w:rsidR="00856DF4" w14:paraId="6F6149F6"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532D381C" w14:textId="77777777" w:rsidR="00856DF4" w:rsidRDefault="0005234B">
            <w:pPr>
              <w:rPr>
                <w:rFonts w:hint="eastAsia"/>
              </w:rPr>
            </w:pPr>
            <w:r>
              <w:rPr>
                <w:color w:val="000000"/>
                <w:sz w:val="18"/>
              </w:rPr>
              <w:lastRenderedPageBreak/>
              <w:t>Quality assurance</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8CE5A0D" w14:textId="77777777" w:rsidR="00856DF4" w:rsidRDefault="0005234B">
            <w:pPr>
              <w:rPr>
                <w:rFonts w:hint="eastAsia"/>
              </w:rPr>
            </w:pPr>
            <w:r>
              <w:rPr>
                <w:color w:val="000000"/>
                <w:sz w:val="18"/>
              </w:rPr>
              <w:t>Supervision, inspections, mystery checks, complaints analysis, corrective action and management reporting.</w:t>
            </w:r>
          </w:p>
        </w:tc>
      </w:tr>
      <w:tr w:rsidR="00856DF4" w14:paraId="33614613"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25F46C6" w14:textId="77777777" w:rsidR="00856DF4" w:rsidRDefault="0005234B">
            <w:pPr>
              <w:rPr>
                <w:rFonts w:hint="eastAsia"/>
              </w:rPr>
            </w:pPr>
            <w:r>
              <w:rPr>
                <w:color w:val="000000"/>
                <w:sz w:val="18"/>
              </w:rPr>
              <w:t>Business continuity</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1C2ADCB1" w14:textId="77777777" w:rsidR="00856DF4" w:rsidRDefault="0005234B">
            <w:pPr>
              <w:rPr>
                <w:rFonts w:hint="eastAsia"/>
              </w:rPr>
            </w:pPr>
            <w:r>
              <w:rPr>
                <w:color w:val="000000"/>
                <w:sz w:val="18"/>
              </w:rPr>
              <w:t>Backup staffing, system outage procedures, weather contingencies and response to loss of parking capacity.</w:t>
            </w:r>
          </w:p>
        </w:tc>
      </w:tr>
    </w:tbl>
    <w:p w14:paraId="35CA143B" w14:textId="77777777" w:rsidR="00856DF4" w:rsidRDefault="00856DF4">
      <w:pPr>
        <w:spacing w:after="0"/>
        <w:rPr>
          <w:rFonts w:hint="eastAsia"/>
        </w:rPr>
      </w:pPr>
    </w:p>
    <w:p w14:paraId="2476E04B" w14:textId="77777777" w:rsidR="00856DF4" w:rsidRDefault="0005234B">
      <w:pPr>
        <w:pStyle w:val="Heading1"/>
      </w:pPr>
      <w:r>
        <w:t>6 Potential operating and commercial models</w:t>
      </w:r>
    </w:p>
    <w:p w14:paraId="7F87744F" w14:textId="77777777" w:rsidR="00856DF4" w:rsidRDefault="0005234B">
      <w:pPr>
        <w:spacing w:after="120" w:line="259" w:lineRule="auto"/>
        <w:rPr>
          <w:rFonts w:hint="eastAsia"/>
        </w:rPr>
      </w:pPr>
      <w:r>
        <w:rPr>
          <w:color w:val="000000"/>
        </w:rPr>
        <w:t>Respondents may present one or more models that are practical for the site. Tharaa has not selected a final model and will use the RFI responses to evaluate feasibility.</w:t>
      </w:r>
    </w:p>
    <w:tbl>
      <w:tblPr>
        <w:tblW w:w="0" w:type="auto"/>
        <w:jc w:val="center"/>
        <w:tblLayout w:type="fixed"/>
        <w:tblLook w:val="04A0" w:firstRow="1" w:lastRow="0" w:firstColumn="1" w:lastColumn="0" w:noHBand="0" w:noVBand="1"/>
      </w:tblPr>
      <w:tblGrid>
        <w:gridCol w:w="2232"/>
        <w:gridCol w:w="7704"/>
      </w:tblGrid>
      <w:tr w:rsidR="00856DF4" w14:paraId="5DF90766" w14:textId="77777777">
        <w:trPr>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0A85FD74" w14:textId="77777777" w:rsidR="00856DF4" w:rsidRDefault="0005234B">
            <w:pPr>
              <w:jc w:val="center"/>
              <w:rPr>
                <w:rFonts w:hint="eastAsia"/>
              </w:rPr>
            </w:pPr>
            <w:r>
              <w:rPr>
                <w:b/>
                <w:color w:val="FFFFFF"/>
                <w:sz w:val="18"/>
              </w:rPr>
              <w:t>Model</w:t>
            </w:r>
          </w:p>
        </w:tc>
        <w:tc>
          <w:tcPr>
            <w:tcW w:w="770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5158FD44" w14:textId="77777777" w:rsidR="00856DF4" w:rsidRDefault="0005234B">
            <w:pPr>
              <w:jc w:val="center"/>
              <w:rPr>
                <w:rFonts w:hint="eastAsia"/>
              </w:rPr>
            </w:pPr>
            <w:r>
              <w:rPr>
                <w:b/>
                <w:color w:val="FFFFFF"/>
                <w:sz w:val="18"/>
              </w:rPr>
              <w:t>Description</w:t>
            </w:r>
          </w:p>
        </w:tc>
      </w:tr>
      <w:tr w:rsidR="00856DF4" w14:paraId="53DE9B0C"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359DAAE6" w14:textId="77777777" w:rsidR="00856DF4" w:rsidRDefault="0005234B">
            <w:pPr>
              <w:rPr>
                <w:rFonts w:hint="eastAsia"/>
              </w:rPr>
            </w:pPr>
            <w:r>
              <w:rPr>
                <w:color w:val="000000"/>
                <w:sz w:val="18"/>
              </w:rPr>
              <w:t>Management fee</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CB20108" w14:textId="77777777" w:rsidR="00856DF4" w:rsidRDefault="0005234B">
            <w:pPr>
              <w:rPr>
                <w:rFonts w:hint="eastAsia"/>
              </w:rPr>
            </w:pPr>
            <w:r>
              <w:rPr>
                <w:color w:val="000000"/>
                <w:sz w:val="18"/>
              </w:rPr>
              <w:t>Tharaa pays an agreed monthly management fee based on the approved staffing and operating plan.</w:t>
            </w:r>
          </w:p>
        </w:tc>
      </w:tr>
      <w:tr w:rsidR="00856DF4" w14:paraId="40FC13A4"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1DEF010A" w14:textId="77777777" w:rsidR="00856DF4" w:rsidRDefault="0005234B">
            <w:pPr>
              <w:rPr>
                <w:rFonts w:hint="eastAsia"/>
              </w:rPr>
            </w:pPr>
            <w:r>
              <w:rPr>
                <w:color w:val="000000"/>
                <w:sz w:val="18"/>
              </w:rPr>
              <w:t>User paid</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507A2C3" w14:textId="77777777" w:rsidR="00856DF4" w:rsidRDefault="0005234B">
            <w:pPr>
              <w:rPr>
                <w:rFonts w:hint="eastAsia"/>
              </w:rPr>
            </w:pPr>
            <w:r>
              <w:rPr>
                <w:color w:val="000000"/>
                <w:sz w:val="18"/>
              </w:rPr>
              <w:t>The operator charges customers an approved valet fee and bears agreed operating responsibilities and commercial risk.</w:t>
            </w:r>
          </w:p>
        </w:tc>
      </w:tr>
      <w:tr w:rsidR="00856DF4" w14:paraId="48B41E54"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18A5DB6" w14:textId="77777777" w:rsidR="00856DF4" w:rsidRDefault="0005234B">
            <w:pPr>
              <w:rPr>
                <w:rFonts w:hint="eastAsia"/>
              </w:rPr>
            </w:pPr>
            <w:r>
              <w:rPr>
                <w:color w:val="000000"/>
                <w:sz w:val="18"/>
              </w:rPr>
              <w:t>Hybrid</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5439CE81" w14:textId="77777777" w:rsidR="00856DF4" w:rsidRDefault="0005234B">
            <w:pPr>
              <w:rPr>
                <w:rFonts w:hint="eastAsia"/>
              </w:rPr>
            </w:pPr>
            <w:r>
              <w:rPr>
                <w:color w:val="000000"/>
                <w:sz w:val="18"/>
              </w:rPr>
              <w:t>A combination of minimum management support and user charges, potentially with revenue sharing or performance conditions.</w:t>
            </w:r>
          </w:p>
        </w:tc>
      </w:tr>
      <w:tr w:rsidR="00856DF4" w14:paraId="1DAD1877" w14:textId="77777777">
        <w:trP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0FC52D5" w14:textId="77777777" w:rsidR="00856DF4" w:rsidRDefault="0005234B">
            <w:pPr>
              <w:rPr>
                <w:rFonts w:hint="eastAsia"/>
              </w:rPr>
            </w:pPr>
            <w:r>
              <w:rPr>
                <w:color w:val="000000"/>
                <w:sz w:val="18"/>
              </w:rPr>
              <w:t>Concession</w:t>
            </w:r>
          </w:p>
        </w:tc>
        <w:tc>
          <w:tcPr>
            <w:tcW w:w="770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B0298CF" w14:textId="77777777" w:rsidR="00856DF4" w:rsidRDefault="0005234B">
            <w:pPr>
              <w:rPr>
                <w:rFonts w:hint="eastAsia"/>
              </w:rPr>
            </w:pPr>
            <w:r>
              <w:rPr>
                <w:color w:val="000000"/>
                <w:sz w:val="18"/>
              </w:rPr>
              <w:t>The operator pays Tharaa a minimum guaranteed amount, revenue share or both, subject to demand and commercial viability.</w:t>
            </w:r>
          </w:p>
        </w:tc>
      </w:tr>
      <w:tr w:rsidR="00856DF4" w14:paraId="587672A6" w14:textId="77777777">
        <w:trPr>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149049DA" w14:textId="77777777" w:rsidR="00856DF4" w:rsidRDefault="0005234B">
            <w:pPr>
              <w:rPr>
                <w:rFonts w:hint="eastAsia"/>
              </w:rPr>
            </w:pPr>
            <w:r>
              <w:rPr>
                <w:color w:val="000000"/>
                <w:sz w:val="18"/>
              </w:rPr>
              <w:t>Event based</w:t>
            </w:r>
          </w:p>
        </w:tc>
        <w:tc>
          <w:tcPr>
            <w:tcW w:w="770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E6DE1A5" w14:textId="77777777" w:rsidR="00856DF4" w:rsidRDefault="0005234B">
            <w:pPr>
              <w:rPr>
                <w:rFonts w:hint="eastAsia"/>
              </w:rPr>
            </w:pPr>
            <w:r>
              <w:rPr>
                <w:color w:val="000000"/>
                <w:sz w:val="18"/>
              </w:rPr>
              <w:t>Separate rates or packages apply for major events, launches and periods requiring additional staffing and equipment.</w:t>
            </w:r>
          </w:p>
        </w:tc>
      </w:tr>
    </w:tbl>
    <w:p w14:paraId="53191FF2" w14:textId="77777777" w:rsidR="00856DF4" w:rsidRDefault="00856DF4">
      <w:pPr>
        <w:spacing w:after="0"/>
        <w:rPr>
          <w:rFonts w:hint="eastAsia"/>
        </w:rPr>
      </w:pPr>
    </w:p>
    <w:p w14:paraId="05EB785C" w14:textId="77777777" w:rsidR="00856DF4" w:rsidRDefault="0005234B">
      <w:pPr>
        <w:spacing w:after="120" w:line="259" w:lineRule="auto"/>
        <w:rPr>
          <w:rFonts w:hint="eastAsia"/>
        </w:rPr>
      </w:pPr>
      <w:r>
        <w:rPr>
          <w:color w:val="000000"/>
        </w:rPr>
        <w:t>Any figures submitted at this stage must be clearly marked as indicative and non-binding. Respondents should state all volume, staffing, parking-capacity, operating-hour and site assumptions used.</w:t>
      </w:r>
    </w:p>
    <w:p w14:paraId="3575150C" w14:textId="77777777" w:rsidR="00856DF4" w:rsidRDefault="0005234B">
      <w:pPr>
        <w:pStyle w:val="Heading1"/>
      </w:pPr>
      <w:r>
        <w:t>7 Optional and value added services</w:t>
      </w:r>
    </w:p>
    <w:p w14:paraId="67B54CF7" w14:textId="77777777" w:rsidR="00856DF4" w:rsidRDefault="0005234B">
      <w:pPr>
        <w:spacing w:after="120" w:line="259" w:lineRule="auto"/>
        <w:rPr>
          <w:rFonts w:hint="eastAsia"/>
        </w:rPr>
      </w:pPr>
      <w:r>
        <w:rPr>
          <w:color w:val="000000"/>
        </w:rPr>
        <w:t>Respondents should identify optional services they can provide directly or through approved subcontractors, together with the required approvals and operating controls.</w:t>
      </w:r>
    </w:p>
    <w:p w14:paraId="3156973E" w14:textId="77777777" w:rsidR="00856DF4" w:rsidRDefault="0005234B">
      <w:pPr>
        <w:pStyle w:val="ListBullet"/>
        <w:spacing w:after="60"/>
        <w:rPr>
          <w:rFonts w:hint="eastAsia"/>
        </w:rPr>
      </w:pPr>
      <w:r>
        <w:rPr>
          <w:color w:val="000000"/>
        </w:rPr>
        <w:t>Premium or reserved valet services.</w:t>
      </w:r>
    </w:p>
    <w:p w14:paraId="61F4F47F" w14:textId="77777777" w:rsidR="00856DF4" w:rsidRDefault="0005234B">
      <w:pPr>
        <w:pStyle w:val="ListBullet"/>
        <w:spacing w:after="60"/>
        <w:rPr>
          <w:rFonts w:hint="eastAsia"/>
        </w:rPr>
      </w:pPr>
      <w:r>
        <w:rPr>
          <w:color w:val="000000"/>
        </w:rPr>
        <w:t>Event-specific booking and pre-registration.</w:t>
      </w:r>
    </w:p>
    <w:p w14:paraId="0D549736" w14:textId="77777777" w:rsidR="00856DF4" w:rsidRDefault="0005234B">
      <w:pPr>
        <w:pStyle w:val="ListBullet"/>
        <w:spacing w:after="60"/>
        <w:rPr>
          <w:rFonts w:hint="eastAsia"/>
        </w:rPr>
      </w:pPr>
      <w:r>
        <w:rPr>
          <w:color w:val="000000"/>
        </w:rPr>
        <w:t>Electric-vehicle charging coordination.</w:t>
      </w:r>
    </w:p>
    <w:p w14:paraId="0139BBC0" w14:textId="77777777" w:rsidR="00856DF4" w:rsidRDefault="0005234B">
      <w:pPr>
        <w:pStyle w:val="ListBullet"/>
        <w:spacing w:after="60"/>
        <w:rPr>
          <w:rFonts w:hint="eastAsia"/>
        </w:rPr>
      </w:pPr>
      <w:r>
        <w:rPr>
          <w:color w:val="000000"/>
        </w:rPr>
        <w:t>Vehicle washing, detailing or minor convenience services, if legally and operationally feasible.</w:t>
      </w:r>
    </w:p>
    <w:p w14:paraId="1EE47305" w14:textId="77777777" w:rsidR="00856DF4" w:rsidRDefault="0005234B">
      <w:pPr>
        <w:pStyle w:val="ListBullet"/>
        <w:spacing w:after="60"/>
        <w:rPr>
          <w:rFonts w:hint="eastAsia"/>
        </w:rPr>
      </w:pPr>
      <w:r>
        <w:rPr>
          <w:color w:val="000000"/>
        </w:rPr>
        <w:t>Parking guidance, shuttle support or remote-parking operations.</w:t>
      </w:r>
    </w:p>
    <w:p w14:paraId="3D1D381F" w14:textId="77777777" w:rsidR="00856DF4" w:rsidRDefault="0005234B">
      <w:pPr>
        <w:pStyle w:val="ListBullet"/>
        <w:spacing w:after="60"/>
        <w:rPr>
          <w:rFonts w:hint="eastAsia"/>
        </w:rPr>
      </w:pPr>
      <w:r>
        <w:rPr>
          <w:color w:val="000000"/>
        </w:rPr>
        <w:lastRenderedPageBreak/>
        <w:t>Integration with tenant, visitor, event-registration or access-control systems.</w:t>
      </w:r>
    </w:p>
    <w:p w14:paraId="24FED02C" w14:textId="77777777" w:rsidR="00856DF4" w:rsidRDefault="0005234B">
      <w:pPr>
        <w:pStyle w:val="ListBullet"/>
        <w:spacing w:after="60"/>
        <w:rPr>
          <w:rFonts w:hint="eastAsia"/>
        </w:rPr>
      </w:pPr>
      <w:r>
        <w:rPr>
          <w:color w:val="000000"/>
        </w:rPr>
        <w:t>Sponsorship, advertising or other revenue opportunities compatible with the Tharaa environment.</w:t>
      </w:r>
    </w:p>
    <w:p w14:paraId="5E84EE1E" w14:textId="77777777" w:rsidR="00856DF4" w:rsidRDefault="0005234B">
      <w:pPr>
        <w:pStyle w:val="Heading1"/>
      </w:pPr>
      <w:r>
        <w:t>8 Respondent eligibility</w:t>
      </w:r>
    </w:p>
    <w:p w14:paraId="2CAFCF57" w14:textId="77777777" w:rsidR="00856DF4" w:rsidRDefault="0005234B">
      <w:pPr>
        <w:spacing w:after="120" w:line="259" w:lineRule="auto"/>
        <w:rPr>
          <w:rFonts w:hint="eastAsia"/>
        </w:rPr>
      </w:pPr>
      <w:r>
        <w:rPr>
          <w:color w:val="000000"/>
        </w:rPr>
        <w:t>The RFI is open to UAE-licensed companies with relevant valet parking or managed parking experience. Joint submissions or specialist subcontracting arrangements may be described, but the proposed lead operator must be clearly identified.</w:t>
      </w:r>
    </w:p>
    <w:p w14:paraId="6FB1F94B" w14:textId="77777777" w:rsidR="00856DF4" w:rsidRDefault="0005234B">
      <w:pPr>
        <w:pStyle w:val="ListBullet"/>
        <w:spacing w:after="60"/>
        <w:rPr>
          <w:rFonts w:hint="eastAsia"/>
        </w:rPr>
      </w:pPr>
      <w:r>
        <w:rPr>
          <w:color w:val="000000"/>
        </w:rPr>
        <w:t>Valid UAE trade licence covering the proposed services.</w:t>
      </w:r>
    </w:p>
    <w:p w14:paraId="19B5B765" w14:textId="77777777" w:rsidR="00856DF4" w:rsidRDefault="0005234B">
      <w:pPr>
        <w:pStyle w:val="ListBullet"/>
        <w:spacing w:after="60"/>
        <w:rPr>
          <w:rFonts w:hint="eastAsia"/>
        </w:rPr>
      </w:pPr>
      <w:r>
        <w:rPr>
          <w:color w:val="000000"/>
        </w:rPr>
        <w:t>Relevant municipal, transport, police or other regulatory approvals required for the operating model.</w:t>
      </w:r>
    </w:p>
    <w:p w14:paraId="6B496EFC" w14:textId="77777777" w:rsidR="00856DF4" w:rsidRDefault="0005234B">
      <w:pPr>
        <w:pStyle w:val="ListBullet"/>
        <w:spacing w:after="60"/>
        <w:rPr>
          <w:rFonts w:hint="eastAsia"/>
        </w:rPr>
      </w:pPr>
      <w:r>
        <w:rPr>
          <w:color w:val="000000"/>
        </w:rPr>
        <w:t>Demonstrated experience operating valet or managed parking services at hotels, mixed-use destinations, business centres, government facilities, hospitals, shopping destinations or large events.</w:t>
      </w:r>
    </w:p>
    <w:p w14:paraId="7B33BCD1" w14:textId="77777777" w:rsidR="00856DF4" w:rsidRDefault="0005234B">
      <w:pPr>
        <w:pStyle w:val="ListBullet"/>
        <w:spacing w:after="60"/>
        <w:rPr>
          <w:rFonts w:hint="eastAsia"/>
        </w:rPr>
      </w:pPr>
      <w:r>
        <w:rPr>
          <w:color w:val="000000"/>
        </w:rPr>
        <w:t>Adequate financial capacity, insurance arrangements, management systems and operational resources.</w:t>
      </w:r>
    </w:p>
    <w:p w14:paraId="0ADFA720" w14:textId="77777777" w:rsidR="00856DF4" w:rsidRDefault="0005234B">
      <w:pPr>
        <w:pStyle w:val="ListBullet"/>
        <w:spacing w:after="60"/>
        <w:rPr>
          <w:rFonts w:hint="eastAsia"/>
        </w:rPr>
      </w:pPr>
      <w:r>
        <w:rPr>
          <w:color w:val="000000"/>
        </w:rPr>
        <w:t>Ability to mobilise and operate in Ajman and to meet applicable UAE employment, road-safety, data-protection and health-and-safety requirements.</w:t>
      </w:r>
    </w:p>
    <w:p w14:paraId="411B1A37" w14:textId="77777777" w:rsidR="00856DF4" w:rsidRDefault="0005234B">
      <w:pPr>
        <w:pStyle w:val="ListBullet"/>
        <w:spacing w:after="60"/>
        <w:rPr>
          <w:rFonts w:hint="eastAsia"/>
        </w:rPr>
      </w:pPr>
      <w:r>
        <w:rPr>
          <w:color w:val="000000"/>
        </w:rPr>
        <w:t>No material conflict of interest affecting the proposed engagement.</w:t>
      </w:r>
    </w:p>
    <w:p w14:paraId="47C99489" w14:textId="77777777" w:rsidR="00856DF4" w:rsidRDefault="0005234B">
      <w:pPr>
        <w:pStyle w:val="Heading1"/>
      </w:pPr>
      <w:r>
        <w:t>9 Information to be submitted</w:t>
      </w:r>
    </w:p>
    <w:p w14:paraId="1B541C78" w14:textId="77777777" w:rsidR="00856DF4" w:rsidRDefault="0005234B">
      <w:pPr>
        <w:pStyle w:val="ListNumber"/>
        <w:spacing w:after="60"/>
        <w:rPr>
          <w:rFonts w:hint="eastAsia"/>
        </w:rPr>
      </w:pPr>
      <w:r>
        <w:rPr>
          <w:color w:val="000000"/>
        </w:rPr>
        <w:t>Company profile, ownership, registered address, UAE licence details and primary contact information.</w:t>
      </w:r>
    </w:p>
    <w:p w14:paraId="04D4F320" w14:textId="77777777" w:rsidR="00856DF4" w:rsidRDefault="0005234B">
      <w:pPr>
        <w:pStyle w:val="ListNumber"/>
        <w:spacing w:after="60"/>
        <w:rPr>
          <w:rFonts w:hint="eastAsia"/>
        </w:rPr>
      </w:pPr>
      <w:r>
        <w:rPr>
          <w:color w:val="000000"/>
        </w:rPr>
        <w:t>Summary of relevant valet and parking-management experience during the previous five years.</w:t>
      </w:r>
    </w:p>
    <w:p w14:paraId="787FC9B2" w14:textId="77777777" w:rsidR="00856DF4" w:rsidRDefault="0005234B">
      <w:pPr>
        <w:pStyle w:val="ListNumber"/>
        <w:spacing w:after="60"/>
        <w:rPr>
          <w:rFonts w:hint="eastAsia"/>
        </w:rPr>
      </w:pPr>
      <w:r>
        <w:rPr>
          <w:color w:val="000000"/>
        </w:rPr>
        <w:t>At least three comparable client references, including location, scope, contract period and approximate operating scale.</w:t>
      </w:r>
    </w:p>
    <w:p w14:paraId="59699EE9" w14:textId="77777777" w:rsidR="00856DF4" w:rsidRDefault="0005234B">
      <w:pPr>
        <w:pStyle w:val="ListNumber"/>
        <w:spacing w:after="60"/>
        <w:rPr>
          <w:rFonts w:hint="eastAsia"/>
        </w:rPr>
      </w:pPr>
      <w:r>
        <w:rPr>
          <w:color w:val="000000"/>
        </w:rPr>
        <w:t>Proposed operating approach for Tharaa Hub, including daily operations, events, VIP handling and peak-demand management.</w:t>
      </w:r>
    </w:p>
    <w:p w14:paraId="4402240A" w14:textId="77777777" w:rsidR="00856DF4" w:rsidRDefault="0005234B">
      <w:pPr>
        <w:pStyle w:val="ListNumber"/>
        <w:spacing w:after="60"/>
        <w:rPr>
          <w:rFonts w:hint="eastAsia"/>
        </w:rPr>
      </w:pPr>
      <w:r>
        <w:rPr>
          <w:color w:val="000000"/>
        </w:rPr>
        <w:t>Indicative organisation chart, role descriptions, shift assumptions and training programme.</w:t>
      </w:r>
    </w:p>
    <w:p w14:paraId="212D73D8" w14:textId="77777777" w:rsidR="00856DF4" w:rsidRDefault="0005234B">
      <w:pPr>
        <w:pStyle w:val="ListNumber"/>
        <w:spacing w:after="60"/>
        <w:rPr>
          <w:rFonts w:hint="eastAsia"/>
        </w:rPr>
      </w:pPr>
      <w:r>
        <w:rPr>
          <w:color w:val="000000"/>
        </w:rPr>
        <w:t>Proposed technology platform, customer workflow, reporting capability and data-security controls.</w:t>
      </w:r>
    </w:p>
    <w:p w14:paraId="67C1E1A2" w14:textId="77777777" w:rsidR="00856DF4" w:rsidRDefault="0005234B">
      <w:pPr>
        <w:pStyle w:val="ListNumber"/>
        <w:spacing w:after="60"/>
        <w:rPr>
          <w:rFonts w:hint="eastAsia"/>
        </w:rPr>
      </w:pPr>
      <w:r>
        <w:rPr>
          <w:color w:val="000000"/>
        </w:rPr>
        <w:t>Insurance types and existing or proposed limits of cover.</w:t>
      </w:r>
    </w:p>
    <w:p w14:paraId="13F9FE96" w14:textId="77777777" w:rsidR="00856DF4" w:rsidRDefault="0005234B">
      <w:pPr>
        <w:pStyle w:val="ListNumber"/>
        <w:spacing w:after="60"/>
        <w:rPr>
          <w:rFonts w:hint="eastAsia"/>
        </w:rPr>
      </w:pPr>
      <w:r>
        <w:rPr>
          <w:color w:val="000000"/>
        </w:rPr>
        <w:t>Indicative mobilisation period and key dependencies from notice to proceed.</w:t>
      </w:r>
    </w:p>
    <w:p w14:paraId="78A88832" w14:textId="77777777" w:rsidR="00856DF4" w:rsidRDefault="0005234B">
      <w:pPr>
        <w:pStyle w:val="ListNumber"/>
        <w:spacing w:after="60"/>
        <w:rPr>
          <w:rFonts w:hint="eastAsia"/>
        </w:rPr>
      </w:pPr>
      <w:r>
        <w:rPr>
          <w:color w:val="000000"/>
        </w:rPr>
        <w:t>Indicative commercial models and cost or revenue assumptions, clearly marked as non-binding.</w:t>
      </w:r>
    </w:p>
    <w:p w14:paraId="747DDFD8" w14:textId="77777777" w:rsidR="00856DF4" w:rsidRDefault="0005234B">
      <w:pPr>
        <w:pStyle w:val="ListNumber"/>
        <w:spacing w:after="60"/>
        <w:rPr>
          <w:rFonts w:hint="eastAsia"/>
        </w:rPr>
      </w:pPr>
      <w:r>
        <w:rPr>
          <w:color w:val="000000"/>
        </w:rPr>
        <w:t>List of required information, facilities, parking capacity, utilities, permits or support expected from Tharaa.</w:t>
      </w:r>
    </w:p>
    <w:p w14:paraId="1C016113" w14:textId="77777777" w:rsidR="00856DF4" w:rsidRDefault="0005234B">
      <w:pPr>
        <w:pStyle w:val="ListNumber"/>
        <w:spacing w:after="60"/>
        <w:rPr>
          <w:rFonts w:hint="eastAsia"/>
        </w:rPr>
      </w:pPr>
      <w:r>
        <w:rPr>
          <w:color w:val="000000"/>
        </w:rPr>
        <w:t>Details of proposed subcontractors or consortium members, if any.</w:t>
      </w:r>
    </w:p>
    <w:p w14:paraId="7BF5D643" w14:textId="77777777" w:rsidR="00856DF4" w:rsidRDefault="0005234B">
      <w:pPr>
        <w:pStyle w:val="ListNumber"/>
        <w:spacing w:after="60"/>
        <w:rPr>
          <w:rFonts w:hint="eastAsia"/>
        </w:rPr>
      </w:pPr>
      <w:r>
        <w:rPr>
          <w:color w:val="000000"/>
        </w:rPr>
        <w:t>Disclosure of any actual or potential conflict of interest.</w:t>
      </w:r>
    </w:p>
    <w:p w14:paraId="2129C9AB" w14:textId="77777777" w:rsidR="00856DF4" w:rsidRDefault="0005234B">
      <w:pPr>
        <w:pStyle w:val="Heading1"/>
      </w:pPr>
      <w:r>
        <w:t>10 Requested operating data</w:t>
      </w:r>
    </w:p>
    <w:tbl>
      <w:tblPr>
        <w:tblW w:w="0" w:type="auto"/>
        <w:jc w:val="center"/>
        <w:tblLayout w:type="fixed"/>
        <w:tblLook w:val="04A0" w:firstRow="1" w:lastRow="0" w:firstColumn="1" w:lastColumn="0" w:noHBand="0" w:noVBand="1"/>
      </w:tblPr>
      <w:tblGrid>
        <w:gridCol w:w="3240"/>
        <w:gridCol w:w="6696"/>
      </w:tblGrid>
      <w:tr w:rsidR="00856DF4" w14:paraId="20B4715C" w14:textId="77777777">
        <w:trPr>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5B2A6C3A" w14:textId="77777777" w:rsidR="00856DF4" w:rsidRDefault="0005234B">
            <w:pPr>
              <w:jc w:val="center"/>
              <w:rPr>
                <w:rFonts w:hint="eastAsia"/>
              </w:rPr>
            </w:pPr>
            <w:r>
              <w:rPr>
                <w:b/>
                <w:color w:val="FFFFFF"/>
                <w:sz w:val="18"/>
              </w:rPr>
              <w:t>Data point</w:t>
            </w:r>
          </w:p>
        </w:tc>
        <w:tc>
          <w:tcPr>
            <w:tcW w:w="6696"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0586D560" w14:textId="77777777" w:rsidR="00856DF4" w:rsidRDefault="0005234B">
            <w:pPr>
              <w:jc w:val="center"/>
              <w:rPr>
                <w:rFonts w:hint="eastAsia"/>
              </w:rPr>
            </w:pPr>
            <w:r>
              <w:rPr>
                <w:b/>
                <w:color w:val="FFFFFF"/>
                <w:sz w:val="18"/>
              </w:rPr>
              <w:t>Respondent input</w:t>
            </w:r>
          </w:p>
        </w:tc>
      </w:tr>
      <w:tr w:rsidR="00856DF4" w14:paraId="0646D024" w14:textId="77777777">
        <w:trPr>
          <w:jc w:val="center"/>
        </w:trPr>
        <w:tc>
          <w:tcPr>
            <w:tcW w:w="324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56D93B7" w14:textId="77777777" w:rsidR="00856DF4" w:rsidRDefault="0005234B">
            <w:pPr>
              <w:rPr>
                <w:rFonts w:hint="eastAsia"/>
              </w:rPr>
            </w:pPr>
            <w:r>
              <w:rPr>
                <w:color w:val="000000"/>
                <w:sz w:val="18"/>
              </w:rPr>
              <w:t>Recommended minimum mobilisation period</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17C89D4A" w14:textId="77777777" w:rsidR="00856DF4" w:rsidRDefault="0005234B">
            <w:pPr>
              <w:rPr>
                <w:rFonts w:hint="eastAsia"/>
              </w:rPr>
            </w:pPr>
            <w:r>
              <w:rPr>
                <w:color w:val="000000"/>
                <w:sz w:val="18"/>
              </w:rPr>
              <w:t>State calendar days and critical dependencies</w:t>
            </w:r>
          </w:p>
        </w:tc>
      </w:tr>
      <w:tr w:rsidR="00856DF4" w14:paraId="41B1C3AE" w14:textId="77777777">
        <w:trP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65ABA7A7" w14:textId="77777777" w:rsidR="00856DF4" w:rsidRDefault="0005234B">
            <w:pPr>
              <w:rPr>
                <w:rFonts w:hint="eastAsia"/>
              </w:rPr>
            </w:pPr>
            <w:r>
              <w:rPr>
                <w:color w:val="000000"/>
                <w:sz w:val="18"/>
              </w:rPr>
              <w:t>Normal operating team</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54BA2D0" w14:textId="77777777" w:rsidR="00856DF4" w:rsidRDefault="0005234B">
            <w:pPr>
              <w:rPr>
                <w:rFonts w:hint="eastAsia"/>
              </w:rPr>
            </w:pPr>
            <w:r>
              <w:rPr>
                <w:color w:val="000000"/>
                <w:sz w:val="18"/>
              </w:rPr>
              <w:t>State roles and headcount per shift</w:t>
            </w:r>
          </w:p>
        </w:tc>
      </w:tr>
      <w:tr w:rsidR="00856DF4" w14:paraId="46C82597" w14:textId="77777777">
        <w:trPr>
          <w:jc w:val="center"/>
        </w:trPr>
        <w:tc>
          <w:tcPr>
            <w:tcW w:w="324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5BACB3F0" w14:textId="77777777" w:rsidR="00856DF4" w:rsidRDefault="0005234B">
            <w:pPr>
              <w:rPr>
                <w:rFonts w:hint="eastAsia"/>
              </w:rPr>
            </w:pPr>
            <w:r>
              <w:rPr>
                <w:color w:val="000000"/>
                <w:sz w:val="18"/>
              </w:rPr>
              <w:t>Peak or event staffing</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B7FF434" w14:textId="77777777" w:rsidR="00856DF4" w:rsidRDefault="0005234B">
            <w:pPr>
              <w:rPr>
                <w:rFonts w:hint="eastAsia"/>
              </w:rPr>
            </w:pPr>
            <w:r>
              <w:rPr>
                <w:color w:val="000000"/>
                <w:sz w:val="18"/>
              </w:rPr>
              <w:t>State scalable staffing method and lead time</w:t>
            </w:r>
          </w:p>
        </w:tc>
      </w:tr>
      <w:tr w:rsidR="00856DF4" w14:paraId="5C3AD027" w14:textId="77777777">
        <w:trP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756DC43" w14:textId="77777777" w:rsidR="00856DF4" w:rsidRDefault="0005234B">
            <w:pPr>
              <w:rPr>
                <w:rFonts w:hint="eastAsia"/>
              </w:rPr>
            </w:pPr>
            <w:r>
              <w:rPr>
                <w:color w:val="000000"/>
                <w:sz w:val="18"/>
              </w:rPr>
              <w:lastRenderedPageBreak/>
              <w:t>Indicative vehicle throughput</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A4CB7FB" w14:textId="77777777" w:rsidR="00856DF4" w:rsidRDefault="0005234B">
            <w:pPr>
              <w:rPr>
                <w:rFonts w:hint="eastAsia"/>
              </w:rPr>
            </w:pPr>
            <w:r>
              <w:rPr>
                <w:color w:val="000000"/>
                <w:sz w:val="18"/>
              </w:rPr>
              <w:t>State vehicles per hour by reception and retrieval lane</w:t>
            </w:r>
          </w:p>
        </w:tc>
      </w:tr>
      <w:tr w:rsidR="00856DF4" w14:paraId="209D0A12" w14:textId="77777777">
        <w:trPr>
          <w:jc w:val="center"/>
        </w:trPr>
        <w:tc>
          <w:tcPr>
            <w:tcW w:w="324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57505C4E" w14:textId="77777777" w:rsidR="00856DF4" w:rsidRDefault="0005234B">
            <w:pPr>
              <w:rPr>
                <w:rFonts w:hint="eastAsia"/>
              </w:rPr>
            </w:pPr>
            <w:r>
              <w:rPr>
                <w:color w:val="000000"/>
                <w:sz w:val="18"/>
              </w:rPr>
              <w:t>Target retrieval time</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0F20B01" w14:textId="77777777" w:rsidR="00856DF4" w:rsidRDefault="0005234B">
            <w:pPr>
              <w:rPr>
                <w:rFonts w:hint="eastAsia"/>
              </w:rPr>
            </w:pPr>
            <w:r>
              <w:rPr>
                <w:color w:val="000000"/>
                <w:sz w:val="18"/>
              </w:rPr>
              <w:t>State normal and peak target</w:t>
            </w:r>
          </w:p>
        </w:tc>
      </w:tr>
      <w:tr w:rsidR="00856DF4" w14:paraId="46B44504" w14:textId="77777777">
        <w:trP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3980CCF" w14:textId="77777777" w:rsidR="00856DF4" w:rsidRDefault="0005234B">
            <w:pPr>
              <w:rPr>
                <w:rFonts w:hint="eastAsia"/>
              </w:rPr>
            </w:pPr>
            <w:r>
              <w:rPr>
                <w:color w:val="000000"/>
                <w:sz w:val="18"/>
              </w:rPr>
              <w:t>Parking capacity assumptions</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3B304AD9" w14:textId="77777777" w:rsidR="00856DF4" w:rsidRDefault="0005234B">
            <w:pPr>
              <w:rPr>
                <w:rFonts w:hint="eastAsia"/>
              </w:rPr>
            </w:pPr>
            <w:r>
              <w:rPr>
                <w:color w:val="000000"/>
                <w:sz w:val="18"/>
              </w:rPr>
              <w:t>State minimum and optimal spaces or off-site arrangements</w:t>
            </w:r>
          </w:p>
        </w:tc>
      </w:tr>
      <w:tr w:rsidR="00856DF4" w14:paraId="27470AB9" w14:textId="77777777">
        <w:trPr>
          <w:jc w:val="center"/>
        </w:trPr>
        <w:tc>
          <w:tcPr>
            <w:tcW w:w="324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CC890A9" w14:textId="77777777" w:rsidR="00856DF4" w:rsidRDefault="0005234B">
            <w:pPr>
              <w:rPr>
                <w:rFonts w:hint="eastAsia"/>
              </w:rPr>
            </w:pPr>
            <w:r>
              <w:rPr>
                <w:color w:val="000000"/>
                <w:sz w:val="18"/>
              </w:rPr>
              <w:t>Technology implementation</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5624D95" w14:textId="77777777" w:rsidR="00856DF4" w:rsidRDefault="0005234B">
            <w:pPr>
              <w:rPr>
                <w:rFonts w:hint="eastAsia"/>
              </w:rPr>
            </w:pPr>
            <w:r>
              <w:rPr>
                <w:color w:val="000000"/>
                <w:sz w:val="18"/>
              </w:rPr>
              <w:t>State platform, devices, connectivity and integration requirements</w:t>
            </w:r>
          </w:p>
        </w:tc>
      </w:tr>
      <w:tr w:rsidR="00856DF4" w14:paraId="1408A201" w14:textId="77777777">
        <w:trP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6B731A85" w14:textId="77777777" w:rsidR="00856DF4" w:rsidRDefault="0005234B">
            <w:pPr>
              <w:rPr>
                <w:rFonts w:hint="eastAsia"/>
              </w:rPr>
            </w:pPr>
            <w:r>
              <w:rPr>
                <w:color w:val="000000"/>
                <w:sz w:val="18"/>
              </w:rPr>
              <w:t>Commercial assumptions</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39CD4CD0" w14:textId="77777777" w:rsidR="00856DF4" w:rsidRDefault="0005234B">
            <w:pPr>
              <w:rPr>
                <w:rFonts w:hint="eastAsia"/>
              </w:rPr>
            </w:pPr>
            <w:r>
              <w:rPr>
                <w:color w:val="000000"/>
                <w:sz w:val="18"/>
              </w:rPr>
              <w:t>State hours, volumes, fees, staffing, parking and contract-term assumptions</w:t>
            </w:r>
          </w:p>
        </w:tc>
      </w:tr>
    </w:tbl>
    <w:p w14:paraId="2A3BBD0F" w14:textId="77777777" w:rsidR="00856DF4" w:rsidRDefault="00856DF4">
      <w:pPr>
        <w:spacing w:after="0"/>
        <w:rPr>
          <w:rFonts w:hint="eastAsia"/>
        </w:rPr>
      </w:pPr>
    </w:p>
    <w:p w14:paraId="50D0A0DF" w14:textId="77777777" w:rsidR="00856DF4" w:rsidRDefault="0005234B">
      <w:pPr>
        <w:pStyle w:val="Heading1"/>
      </w:pPr>
      <w:r>
        <w:t>11 RFI timetable</w:t>
      </w:r>
    </w:p>
    <w:tbl>
      <w:tblPr>
        <w:tblW w:w="0" w:type="auto"/>
        <w:jc w:val="center"/>
        <w:tblLayout w:type="fixed"/>
        <w:tblLook w:val="04A0" w:firstRow="1" w:lastRow="0" w:firstColumn="1" w:lastColumn="0" w:noHBand="0" w:noVBand="1"/>
      </w:tblPr>
      <w:tblGrid>
        <w:gridCol w:w="5472"/>
        <w:gridCol w:w="4464"/>
      </w:tblGrid>
      <w:tr w:rsidR="00856DF4" w14:paraId="5E151CAF" w14:textId="77777777">
        <w:trPr>
          <w:tblHeader/>
          <w:jc w:val="center"/>
        </w:trPr>
        <w:tc>
          <w:tcPr>
            <w:tcW w:w="547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6EB85C3B" w14:textId="77777777" w:rsidR="00856DF4" w:rsidRDefault="0005234B">
            <w:pPr>
              <w:jc w:val="center"/>
              <w:rPr>
                <w:rFonts w:hint="eastAsia"/>
              </w:rPr>
            </w:pPr>
            <w:r>
              <w:rPr>
                <w:b/>
                <w:color w:val="FFFFFF"/>
                <w:sz w:val="18"/>
              </w:rPr>
              <w:t>Stage</w:t>
            </w:r>
          </w:p>
        </w:tc>
        <w:tc>
          <w:tcPr>
            <w:tcW w:w="446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31B73FBE" w14:textId="77777777" w:rsidR="00856DF4" w:rsidRDefault="0005234B">
            <w:pPr>
              <w:jc w:val="center"/>
              <w:rPr>
                <w:rFonts w:hint="eastAsia"/>
              </w:rPr>
            </w:pPr>
            <w:r>
              <w:rPr>
                <w:b/>
                <w:color w:val="FFFFFF"/>
                <w:sz w:val="18"/>
              </w:rPr>
              <w:t>Date and time</w:t>
            </w:r>
          </w:p>
        </w:tc>
      </w:tr>
      <w:tr w:rsidR="00856DF4" w14:paraId="2BA9ACDD" w14:textId="77777777">
        <w:trPr>
          <w:jc w:val="center"/>
        </w:trPr>
        <w:tc>
          <w:tcPr>
            <w:tcW w:w="547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AFA5C68" w14:textId="77777777" w:rsidR="00856DF4" w:rsidRDefault="0005234B">
            <w:pPr>
              <w:rPr>
                <w:rFonts w:hint="eastAsia"/>
              </w:rPr>
            </w:pPr>
            <w:r>
              <w:rPr>
                <w:color w:val="000000"/>
                <w:sz w:val="18"/>
              </w:rPr>
              <w:t>RFI publication</w:t>
            </w:r>
          </w:p>
        </w:tc>
        <w:tc>
          <w:tcPr>
            <w:tcW w:w="446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1B80522" w14:textId="77777777" w:rsidR="00856DF4" w:rsidRDefault="0005234B">
            <w:pPr>
              <w:rPr>
                <w:rFonts w:hint="eastAsia"/>
              </w:rPr>
            </w:pPr>
            <w:r>
              <w:rPr>
                <w:color w:val="000000"/>
                <w:sz w:val="18"/>
              </w:rPr>
              <w:t>18 September 2026</w:t>
            </w:r>
          </w:p>
        </w:tc>
      </w:tr>
      <w:tr w:rsidR="00856DF4" w14:paraId="2789F722" w14:textId="77777777">
        <w:trPr>
          <w:jc w:val="center"/>
        </w:trPr>
        <w:tc>
          <w:tcPr>
            <w:tcW w:w="547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7596703" w14:textId="77777777" w:rsidR="00856DF4" w:rsidRDefault="0005234B">
            <w:pPr>
              <w:rPr>
                <w:rFonts w:hint="eastAsia"/>
              </w:rPr>
            </w:pPr>
            <w:r>
              <w:rPr>
                <w:color w:val="000000"/>
                <w:sz w:val="18"/>
              </w:rPr>
              <w:t>Deadline for clarification requests</w:t>
            </w:r>
          </w:p>
        </w:tc>
        <w:tc>
          <w:tcPr>
            <w:tcW w:w="446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BD1B7EE" w14:textId="77777777" w:rsidR="00856DF4" w:rsidRDefault="0005234B">
            <w:pPr>
              <w:rPr>
                <w:rFonts w:hint="eastAsia"/>
              </w:rPr>
            </w:pPr>
            <w:r>
              <w:rPr>
                <w:color w:val="000000"/>
                <w:sz w:val="18"/>
              </w:rPr>
              <w:t>25 September 2026 at 1:00 PM UAE time</w:t>
            </w:r>
          </w:p>
        </w:tc>
      </w:tr>
      <w:tr w:rsidR="00856DF4" w14:paraId="0C4C3A02" w14:textId="77777777">
        <w:trPr>
          <w:jc w:val="center"/>
        </w:trPr>
        <w:tc>
          <w:tcPr>
            <w:tcW w:w="547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2DAACBD" w14:textId="77777777" w:rsidR="00856DF4" w:rsidRDefault="0005234B">
            <w:pPr>
              <w:rPr>
                <w:rFonts w:hint="eastAsia"/>
              </w:rPr>
            </w:pPr>
            <w:r>
              <w:rPr>
                <w:color w:val="000000"/>
                <w:sz w:val="18"/>
              </w:rPr>
              <w:t>RFI response deadline</w:t>
            </w:r>
          </w:p>
        </w:tc>
        <w:tc>
          <w:tcPr>
            <w:tcW w:w="446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A21C340" w14:textId="77777777" w:rsidR="00856DF4" w:rsidRDefault="0005234B">
            <w:pPr>
              <w:rPr>
                <w:rFonts w:hint="eastAsia"/>
              </w:rPr>
            </w:pPr>
            <w:r>
              <w:rPr>
                <w:color w:val="000000"/>
                <w:sz w:val="18"/>
              </w:rPr>
              <w:t>2 October 2026 at 1:00 PM UAE time</w:t>
            </w:r>
          </w:p>
        </w:tc>
      </w:tr>
      <w:tr w:rsidR="00856DF4" w14:paraId="3EE6B5EE" w14:textId="77777777">
        <w:trPr>
          <w:jc w:val="center"/>
        </w:trPr>
        <w:tc>
          <w:tcPr>
            <w:tcW w:w="547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635A0457" w14:textId="77777777" w:rsidR="00856DF4" w:rsidRDefault="0005234B">
            <w:pPr>
              <w:rPr>
                <w:rFonts w:hint="eastAsia"/>
              </w:rPr>
            </w:pPr>
            <w:r>
              <w:rPr>
                <w:color w:val="000000"/>
                <w:sz w:val="18"/>
              </w:rPr>
              <w:t>Review and possible respondent meetings</w:t>
            </w:r>
          </w:p>
        </w:tc>
        <w:tc>
          <w:tcPr>
            <w:tcW w:w="4464"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F655E7E" w14:textId="77777777" w:rsidR="00856DF4" w:rsidRDefault="0005234B">
            <w:pPr>
              <w:rPr>
                <w:rFonts w:hint="eastAsia"/>
              </w:rPr>
            </w:pPr>
            <w:r>
              <w:rPr>
                <w:color w:val="000000"/>
                <w:sz w:val="18"/>
              </w:rPr>
              <w:t>October 2026</w:t>
            </w:r>
          </w:p>
        </w:tc>
      </w:tr>
      <w:tr w:rsidR="00856DF4" w14:paraId="3E8EA574" w14:textId="77777777">
        <w:trPr>
          <w:jc w:val="center"/>
        </w:trPr>
        <w:tc>
          <w:tcPr>
            <w:tcW w:w="547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33DE411B" w14:textId="77777777" w:rsidR="00856DF4" w:rsidRDefault="0005234B">
            <w:pPr>
              <w:rPr>
                <w:rFonts w:hint="eastAsia"/>
              </w:rPr>
            </w:pPr>
            <w:r>
              <w:rPr>
                <w:color w:val="000000"/>
                <w:sz w:val="18"/>
              </w:rPr>
              <w:t>Potential subsequent RFP or tender</w:t>
            </w:r>
          </w:p>
        </w:tc>
        <w:tc>
          <w:tcPr>
            <w:tcW w:w="4464"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07473E2" w14:textId="77777777" w:rsidR="00856DF4" w:rsidRDefault="0005234B">
            <w:pPr>
              <w:rPr>
                <w:rFonts w:hint="eastAsia"/>
              </w:rPr>
            </w:pPr>
            <w:r>
              <w:rPr>
                <w:color w:val="000000"/>
                <w:sz w:val="18"/>
              </w:rPr>
              <w:t>To be determined</w:t>
            </w:r>
          </w:p>
        </w:tc>
      </w:tr>
    </w:tbl>
    <w:p w14:paraId="016E32D4" w14:textId="77777777" w:rsidR="00856DF4" w:rsidRDefault="00856DF4">
      <w:pPr>
        <w:spacing w:after="0"/>
        <w:rPr>
          <w:rFonts w:hint="eastAsia"/>
        </w:rPr>
      </w:pPr>
    </w:p>
    <w:p w14:paraId="7BA0A0C4" w14:textId="77777777" w:rsidR="00856DF4" w:rsidRDefault="0005234B">
      <w:pPr>
        <w:spacing w:after="120" w:line="259" w:lineRule="auto"/>
        <w:rPr>
          <w:rFonts w:hint="eastAsia"/>
        </w:rPr>
      </w:pPr>
      <w:r>
        <w:rPr>
          <w:color w:val="000000"/>
        </w:rPr>
        <w:t>Tharaa reserves the right to amend the timetable through the official procurement channel.</w:t>
      </w:r>
    </w:p>
    <w:p w14:paraId="5C44706B" w14:textId="77777777" w:rsidR="00856DF4" w:rsidRDefault="0005234B">
      <w:pPr>
        <w:pStyle w:val="Heading1"/>
      </w:pPr>
      <w:r>
        <w:t>12 Submission instructions</w:t>
      </w:r>
    </w:p>
    <w:p w14:paraId="4899AFC8" w14:textId="77777777" w:rsidR="00856DF4" w:rsidRDefault="0005234B">
      <w:pPr>
        <w:spacing w:after="120" w:line="259" w:lineRule="auto"/>
        <w:rPr>
          <w:rFonts w:hint="eastAsia"/>
        </w:rPr>
      </w:pPr>
      <w:r>
        <w:rPr>
          <w:color w:val="000000"/>
        </w:rPr>
        <w:t>Responses and clarification requests must be submitted online through the Ajman Department of Finance procurement portal and in accordance with the instructions stated in the official notice. Responses delivered through email, direct message, physical delivery or another channel may be disregarded.</w:t>
      </w:r>
    </w:p>
    <w:p w14:paraId="4AF96F9C" w14:textId="77777777" w:rsidR="00856DF4" w:rsidRDefault="0005234B">
      <w:pPr>
        <w:pStyle w:val="ListBullet"/>
        <w:spacing w:after="60"/>
        <w:rPr>
          <w:rFonts w:hint="eastAsia"/>
        </w:rPr>
      </w:pPr>
      <w:r>
        <w:rPr>
          <w:color w:val="000000"/>
        </w:rPr>
        <w:t>Submit one complete response in searchable PDF format unless the portal specifies another format.</w:t>
      </w:r>
    </w:p>
    <w:p w14:paraId="5E3B9959" w14:textId="77777777" w:rsidR="00856DF4" w:rsidRDefault="0005234B">
      <w:pPr>
        <w:pStyle w:val="ListBullet"/>
        <w:spacing w:after="60"/>
        <w:rPr>
          <w:rFonts w:hint="eastAsia"/>
        </w:rPr>
      </w:pPr>
      <w:r>
        <w:rPr>
          <w:color w:val="000000"/>
        </w:rPr>
        <w:t>Use the RFI reference TH RFI VP 2026 01 in the response title and file name.</w:t>
      </w:r>
    </w:p>
    <w:p w14:paraId="2F76D7D4" w14:textId="77777777" w:rsidR="00856DF4" w:rsidRDefault="0005234B">
      <w:pPr>
        <w:pStyle w:val="ListBullet"/>
        <w:spacing w:after="60"/>
        <w:rPr>
          <w:rFonts w:hint="eastAsia"/>
        </w:rPr>
      </w:pPr>
      <w:r>
        <w:rPr>
          <w:color w:val="000000"/>
        </w:rPr>
        <w:t>Keep the main response concise and place licences, certificates, case studies and supporting evidence in appendices.</w:t>
      </w:r>
    </w:p>
    <w:p w14:paraId="7D42BA73" w14:textId="77777777" w:rsidR="00856DF4" w:rsidRDefault="0005234B">
      <w:pPr>
        <w:pStyle w:val="ListBullet"/>
        <w:spacing w:after="60"/>
        <w:rPr>
          <w:rFonts w:hint="eastAsia"/>
        </w:rPr>
      </w:pPr>
      <w:r>
        <w:rPr>
          <w:color w:val="000000"/>
        </w:rPr>
        <w:t>Clearly identify confidential or commercially sensitive information.</w:t>
      </w:r>
    </w:p>
    <w:p w14:paraId="03F7D733" w14:textId="77777777" w:rsidR="00856DF4" w:rsidRDefault="0005234B">
      <w:pPr>
        <w:pStyle w:val="ListBullet"/>
        <w:spacing w:after="60"/>
        <w:rPr>
          <w:rFonts w:hint="eastAsia"/>
        </w:rPr>
      </w:pPr>
      <w:r>
        <w:rPr>
          <w:color w:val="000000"/>
        </w:rPr>
        <w:t>Ensure the response is authorised by a representative of the submitting organisation.</w:t>
      </w:r>
    </w:p>
    <w:p w14:paraId="560777F3" w14:textId="77777777" w:rsidR="00856DF4" w:rsidRDefault="0005234B">
      <w:pPr>
        <w:pStyle w:val="Heading1"/>
      </w:pPr>
      <w:r>
        <w:lastRenderedPageBreak/>
        <w:t>13 RFI conditions</w:t>
      </w:r>
    </w:p>
    <w:p w14:paraId="7791767F" w14:textId="77777777" w:rsidR="00856DF4" w:rsidRDefault="0005234B">
      <w:pPr>
        <w:pStyle w:val="ListBullet"/>
        <w:spacing w:after="60"/>
        <w:rPr>
          <w:rFonts w:hint="eastAsia"/>
        </w:rPr>
      </w:pPr>
      <w:r>
        <w:rPr>
          <w:color w:val="000000"/>
        </w:rPr>
        <w:t>This RFI is issued for information gathering, market engagement and procurement planning only.</w:t>
      </w:r>
    </w:p>
    <w:p w14:paraId="227BE272" w14:textId="77777777" w:rsidR="00856DF4" w:rsidRDefault="0005234B">
      <w:pPr>
        <w:pStyle w:val="ListBullet"/>
        <w:spacing w:after="60"/>
        <w:rPr>
          <w:rFonts w:hint="eastAsia"/>
        </w:rPr>
      </w:pPr>
      <w:r>
        <w:rPr>
          <w:color w:val="000000"/>
        </w:rPr>
        <w:t>It does not constitute an offer, tender, request for binding quotation or commitment to procure services.</w:t>
      </w:r>
    </w:p>
    <w:p w14:paraId="05AAF015" w14:textId="77777777" w:rsidR="00856DF4" w:rsidRDefault="0005234B">
      <w:pPr>
        <w:pStyle w:val="ListBullet"/>
        <w:spacing w:after="60"/>
        <w:rPr>
          <w:rFonts w:hint="eastAsia"/>
        </w:rPr>
      </w:pPr>
      <w:r>
        <w:rPr>
          <w:color w:val="000000"/>
        </w:rPr>
        <w:t>Tharaa may accept, reject, shortlist, clarify or seek presentations from any respondent without creating an obligation to proceed.</w:t>
      </w:r>
    </w:p>
    <w:p w14:paraId="09C8FFBE" w14:textId="77777777" w:rsidR="00856DF4" w:rsidRDefault="0005234B">
      <w:pPr>
        <w:pStyle w:val="ListBullet"/>
        <w:spacing w:after="60"/>
        <w:rPr>
          <w:rFonts w:hint="eastAsia"/>
        </w:rPr>
      </w:pPr>
      <w:r>
        <w:rPr>
          <w:color w:val="000000"/>
        </w:rPr>
        <w:t>Participation in this RFI does not guarantee invitation to or preference in a later procurement process.</w:t>
      </w:r>
    </w:p>
    <w:p w14:paraId="7F07D2A5" w14:textId="77777777" w:rsidR="00856DF4" w:rsidRDefault="0005234B">
      <w:pPr>
        <w:pStyle w:val="ListBullet"/>
        <w:spacing w:after="60"/>
        <w:rPr>
          <w:rFonts w:hint="eastAsia"/>
        </w:rPr>
      </w:pPr>
      <w:r>
        <w:rPr>
          <w:color w:val="000000"/>
        </w:rPr>
        <w:t>Respondents bear all costs associated with preparing and submitting their responses.</w:t>
      </w:r>
    </w:p>
    <w:p w14:paraId="6A28EDBD" w14:textId="77777777" w:rsidR="00856DF4" w:rsidRDefault="0005234B">
      <w:pPr>
        <w:pStyle w:val="ListBullet"/>
        <w:spacing w:after="60"/>
        <w:rPr>
          <w:rFonts w:hint="eastAsia"/>
        </w:rPr>
      </w:pPr>
      <w:r>
        <w:rPr>
          <w:color w:val="000000"/>
        </w:rPr>
        <w:t>Tharaa may use submitted information to define requirements, procurement strategy, evaluation criteria and commercial structure, while treating properly identified confidential information appropriately.</w:t>
      </w:r>
    </w:p>
    <w:p w14:paraId="3F3557C8" w14:textId="77777777" w:rsidR="00856DF4" w:rsidRDefault="0005234B">
      <w:pPr>
        <w:pStyle w:val="ListBullet"/>
        <w:spacing w:after="60"/>
        <w:rPr>
          <w:rFonts w:hint="eastAsia"/>
        </w:rPr>
      </w:pPr>
      <w:r>
        <w:rPr>
          <w:color w:val="000000"/>
        </w:rPr>
        <w:t>Any future appointment will be subject to formal procurement, due diligence, approvals, contract negotiation and applicable laws and regulations.</w:t>
      </w:r>
    </w:p>
    <w:p w14:paraId="7C75719D" w14:textId="77777777" w:rsidR="00856DF4" w:rsidRDefault="0005234B">
      <w:pPr>
        <w:pStyle w:val="Heading1"/>
      </w:pPr>
      <w:r>
        <w:t>14 Evaluation of market information</w:t>
      </w:r>
    </w:p>
    <w:p w14:paraId="40948BB2" w14:textId="77777777" w:rsidR="00856DF4" w:rsidRDefault="0005234B">
      <w:pPr>
        <w:spacing w:after="120" w:line="259" w:lineRule="auto"/>
        <w:rPr>
          <w:rFonts w:hint="eastAsia"/>
        </w:rPr>
      </w:pPr>
      <w:r>
        <w:rPr>
          <w:color w:val="000000"/>
        </w:rPr>
        <w:t>RFI responses may be reviewed against the following non-binding considerations. These are not tender award criteria and may be revised for any later procurement process.</w:t>
      </w:r>
    </w:p>
    <w:tbl>
      <w:tblPr>
        <w:tblW w:w="0" w:type="auto"/>
        <w:jc w:val="center"/>
        <w:tblLayout w:type="fixed"/>
        <w:tblLook w:val="04A0" w:firstRow="1" w:lastRow="0" w:firstColumn="1" w:lastColumn="0" w:noHBand="0" w:noVBand="1"/>
      </w:tblPr>
      <w:tblGrid>
        <w:gridCol w:w="2520"/>
        <w:gridCol w:w="7416"/>
      </w:tblGrid>
      <w:tr w:rsidR="00856DF4" w14:paraId="2D757B91" w14:textId="77777777">
        <w:trPr>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1DC008A7" w14:textId="77777777" w:rsidR="00856DF4" w:rsidRDefault="0005234B">
            <w:pPr>
              <w:jc w:val="center"/>
              <w:rPr>
                <w:rFonts w:hint="eastAsia"/>
              </w:rPr>
            </w:pPr>
            <w:r>
              <w:rPr>
                <w:b/>
                <w:color w:val="FFFFFF"/>
                <w:sz w:val="18"/>
              </w:rPr>
              <w:t>Consideration</w:t>
            </w:r>
          </w:p>
        </w:tc>
        <w:tc>
          <w:tcPr>
            <w:tcW w:w="7416"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6B18B21A" w14:textId="77777777" w:rsidR="00856DF4" w:rsidRDefault="0005234B">
            <w:pPr>
              <w:jc w:val="center"/>
              <w:rPr>
                <w:rFonts w:hint="eastAsia"/>
              </w:rPr>
            </w:pPr>
            <w:r>
              <w:rPr>
                <w:b/>
                <w:color w:val="FFFFFF"/>
                <w:sz w:val="18"/>
              </w:rPr>
              <w:t>Areas of interest</w:t>
            </w:r>
          </w:p>
        </w:tc>
      </w:tr>
      <w:tr w:rsidR="00856DF4" w14:paraId="39E72D64" w14:textId="77777777">
        <w:trPr>
          <w:jc w:val="center"/>
        </w:trPr>
        <w:tc>
          <w:tcPr>
            <w:tcW w:w="252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F1247B7" w14:textId="77777777" w:rsidR="00856DF4" w:rsidRDefault="0005234B">
            <w:pPr>
              <w:rPr>
                <w:rFonts w:hint="eastAsia"/>
              </w:rPr>
            </w:pPr>
            <w:r>
              <w:rPr>
                <w:color w:val="000000"/>
                <w:sz w:val="18"/>
              </w:rPr>
              <w:t>Relevant capability</w:t>
            </w:r>
          </w:p>
        </w:tc>
        <w:tc>
          <w:tcPr>
            <w:tcW w:w="741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B55E962" w14:textId="77777777" w:rsidR="00856DF4" w:rsidRDefault="0005234B">
            <w:pPr>
              <w:rPr>
                <w:rFonts w:hint="eastAsia"/>
              </w:rPr>
            </w:pPr>
            <w:r>
              <w:rPr>
                <w:color w:val="000000"/>
                <w:sz w:val="18"/>
              </w:rPr>
              <w:t>Comparable operations, scale, customer profile and performance evidence</w:t>
            </w:r>
          </w:p>
        </w:tc>
      </w:tr>
      <w:tr w:rsidR="00856DF4" w14:paraId="78F0090A" w14:textId="77777777">
        <w:trP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4C53888" w14:textId="77777777" w:rsidR="00856DF4" w:rsidRDefault="0005234B">
            <w:pPr>
              <w:rPr>
                <w:rFonts w:hint="eastAsia"/>
              </w:rPr>
            </w:pPr>
            <w:r>
              <w:rPr>
                <w:color w:val="000000"/>
                <w:sz w:val="18"/>
              </w:rPr>
              <w:t>Operating approach</w:t>
            </w:r>
          </w:p>
        </w:tc>
        <w:tc>
          <w:tcPr>
            <w:tcW w:w="741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D16A620" w14:textId="77777777" w:rsidR="00856DF4" w:rsidRDefault="0005234B">
            <w:pPr>
              <w:rPr>
                <w:rFonts w:hint="eastAsia"/>
              </w:rPr>
            </w:pPr>
            <w:r>
              <w:rPr>
                <w:color w:val="000000"/>
                <w:sz w:val="18"/>
              </w:rPr>
              <w:t>Practicality, safety, customer experience, scalability and event readiness</w:t>
            </w:r>
          </w:p>
        </w:tc>
      </w:tr>
      <w:tr w:rsidR="00856DF4" w14:paraId="1E012F53" w14:textId="77777777">
        <w:trPr>
          <w:jc w:val="center"/>
        </w:trPr>
        <w:tc>
          <w:tcPr>
            <w:tcW w:w="252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B97C8A8" w14:textId="77777777" w:rsidR="00856DF4" w:rsidRDefault="0005234B">
            <w:pPr>
              <w:rPr>
                <w:rFonts w:hint="eastAsia"/>
              </w:rPr>
            </w:pPr>
            <w:r>
              <w:rPr>
                <w:color w:val="000000"/>
                <w:sz w:val="18"/>
              </w:rPr>
              <w:t>People and controls</w:t>
            </w:r>
          </w:p>
        </w:tc>
        <w:tc>
          <w:tcPr>
            <w:tcW w:w="741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8F9B0D1" w14:textId="77777777" w:rsidR="00856DF4" w:rsidRDefault="0005234B">
            <w:pPr>
              <w:rPr>
                <w:rFonts w:hint="eastAsia"/>
              </w:rPr>
            </w:pPr>
            <w:r>
              <w:rPr>
                <w:color w:val="000000"/>
                <w:sz w:val="18"/>
              </w:rPr>
              <w:t>Recruitment, driver screening, training, supervision and incident management</w:t>
            </w:r>
          </w:p>
        </w:tc>
      </w:tr>
      <w:tr w:rsidR="00856DF4" w14:paraId="393DAB5A" w14:textId="77777777">
        <w:trP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E813E1F" w14:textId="77777777" w:rsidR="00856DF4" w:rsidRDefault="0005234B">
            <w:pPr>
              <w:rPr>
                <w:rFonts w:hint="eastAsia"/>
              </w:rPr>
            </w:pPr>
            <w:r>
              <w:rPr>
                <w:color w:val="000000"/>
                <w:sz w:val="18"/>
              </w:rPr>
              <w:t>Technology</w:t>
            </w:r>
          </w:p>
        </w:tc>
        <w:tc>
          <w:tcPr>
            <w:tcW w:w="741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F39033B" w14:textId="77777777" w:rsidR="00856DF4" w:rsidRDefault="0005234B">
            <w:pPr>
              <w:rPr>
                <w:rFonts w:hint="eastAsia"/>
              </w:rPr>
            </w:pPr>
            <w:r>
              <w:rPr>
                <w:color w:val="000000"/>
                <w:sz w:val="18"/>
              </w:rPr>
              <w:t>Ease of use, vehicle traceability, reporting, resilience and data protection</w:t>
            </w:r>
          </w:p>
        </w:tc>
      </w:tr>
      <w:tr w:rsidR="00856DF4" w14:paraId="1979E6B4" w14:textId="77777777">
        <w:trPr>
          <w:jc w:val="center"/>
        </w:trPr>
        <w:tc>
          <w:tcPr>
            <w:tcW w:w="2520"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DE36906" w14:textId="77777777" w:rsidR="00856DF4" w:rsidRDefault="0005234B">
            <w:pPr>
              <w:rPr>
                <w:rFonts w:hint="eastAsia"/>
              </w:rPr>
            </w:pPr>
            <w:r>
              <w:rPr>
                <w:color w:val="000000"/>
                <w:sz w:val="18"/>
              </w:rPr>
              <w:t>Mobilisation</w:t>
            </w:r>
          </w:p>
        </w:tc>
        <w:tc>
          <w:tcPr>
            <w:tcW w:w="741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840D009" w14:textId="77777777" w:rsidR="00856DF4" w:rsidRDefault="0005234B">
            <w:pPr>
              <w:rPr>
                <w:rFonts w:hint="eastAsia"/>
              </w:rPr>
            </w:pPr>
            <w:r>
              <w:rPr>
                <w:color w:val="000000"/>
                <w:sz w:val="18"/>
              </w:rPr>
              <w:t>Timeline, dependencies, permits and readiness plan</w:t>
            </w:r>
          </w:p>
        </w:tc>
      </w:tr>
      <w:tr w:rsidR="00856DF4" w14:paraId="34A8BB76" w14:textId="77777777">
        <w:trP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4943D69" w14:textId="77777777" w:rsidR="00856DF4" w:rsidRDefault="0005234B">
            <w:pPr>
              <w:rPr>
                <w:rFonts w:hint="eastAsia"/>
              </w:rPr>
            </w:pPr>
            <w:r>
              <w:rPr>
                <w:color w:val="000000"/>
                <w:sz w:val="18"/>
              </w:rPr>
              <w:t>Commercial viability</w:t>
            </w:r>
          </w:p>
        </w:tc>
        <w:tc>
          <w:tcPr>
            <w:tcW w:w="741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604E3EC" w14:textId="77777777" w:rsidR="00856DF4" w:rsidRDefault="0005234B">
            <w:pPr>
              <w:rPr>
                <w:rFonts w:hint="eastAsia"/>
              </w:rPr>
            </w:pPr>
            <w:r>
              <w:rPr>
                <w:color w:val="000000"/>
                <w:sz w:val="18"/>
              </w:rPr>
              <w:t>Clarity and realism of assumptions and proposed operating models</w:t>
            </w:r>
          </w:p>
        </w:tc>
      </w:tr>
    </w:tbl>
    <w:p w14:paraId="482C78E8" w14:textId="77777777" w:rsidR="00856DF4" w:rsidRDefault="00856DF4">
      <w:pPr>
        <w:spacing w:after="0"/>
        <w:rPr>
          <w:rFonts w:hint="eastAsia"/>
        </w:rPr>
      </w:pPr>
    </w:p>
    <w:p w14:paraId="6D272A5B" w14:textId="77777777" w:rsidR="00856DF4" w:rsidRDefault="0005234B">
      <w:pPr>
        <w:pStyle w:val="Heading1"/>
      </w:pPr>
      <w:r>
        <w:t>15 Required response structure</w:t>
      </w:r>
    </w:p>
    <w:tbl>
      <w:tblPr>
        <w:tblW w:w="0" w:type="auto"/>
        <w:jc w:val="center"/>
        <w:tblLayout w:type="fixed"/>
        <w:tblLook w:val="04A0" w:firstRow="1" w:lastRow="0" w:firstColumn="1" w:lastColumn="0" w:noHBand="0" w:noVBand="1"/>
      </w:tblPr>
      <w:tblGrid>
        <w:gridCol w:w="1008"/>
        <w:gridCol w:w="6696"/>
        <w:gridCol w:w="2232"/>
      </w:tblGrid>
      <w:tr w:rsidR="00856DF4" w14:paraId="1D204BF8" w14:textId="77777777">
        <w:trPr>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1290C93E" w14:textId="77777777" w:rsidR="00856DF4" w:rsidRDefault="0005234B">
            <w:pPr>
              <w:jc w:val="center"/>
              <w:rPr>
                <w:rFonts w:hint="eastAsia"/>
              </w:rPr>
            </w:pPr>
            <w:r>
              <w:rPr>
                <w:b/>
                <w:color w:val="FFFFFF"/>
                <w:sz w:val="18"/>
              </w:rPr>
              <w:t>Section</w:t>
            </w:r>
          </w:p>
        </w:tc>
        <w:tc>
          <w:tcPr>
            <w:tcW w:w="6696"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5784FD74" w14:textId="77777777" w:rsidR="00856DF4" w:rsidRDefault="0005234B">
            <w:pPr>
              <w:jc w:val="center"/>
              <w:rPr>
                <w:rFonts w:hint="eastAsia"/>
              </w:rPr>
            </w:pPr>
            <w:r>
              <w:rPr>
                <w:b/>
                <w:color w:val="FFFFFF"/>
                <w:sz w:val="18"/>
              </w:rPr>
              <w:t>Required content</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20" w:type="dxa"/>
              <w:bottom w:w="100" w:type="dxa"/>
              <w:right w:w="120" w:type="dxa"/>
            </w:tcMar>
            <w:vAlign w:val="center"/>
          </w:tcPr>
          <w:p w14:paraId="23FC323E" w14:textId="77777777" w:rsidR="00856DF4" w:rsidRDefault="0005234B">
            <w:pPr>
              <w:jc w:val="center"/>
              <w:rPr>
                <w:rFonts w:hint="eastAsia"/>
              </w:rPr>
            </w:pPr>
            <w:r>
              <w:rPr>
                <w:b/>
                <w:color w:val="FFFFFF"/>
                <w:sz w:val="18"/>
              </w:rPr>
              <w:t>Suggested maximum</w:t>
            </w:r>
          </w:p>
        </w:tc>
      </w:tr>
      <w:tr w:rsidR="00856DF4" w14:paraId="4543A7B0" w14:textId="77777777">
        <w:trPr>
          <w:jc w:val="center"/>
        </w:trPr>
        <w:tc>
          <w:tcPr>
            <w:tcW w:w="1008"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7B0F1B98" w14:textId="77777777" w:rsidR="00856DF4" w:rsidRDefault="0005234B">
            <w:pPr>
              <w:rPr>
                <w:rFonts w:hint="eastAsia"/>
              </w:rPr>
            </w:pPr>
            <w:r>
              <w:rPr>
                <w:color w:val="000000"/>
                <w:sz w:val="18"/>
              </w:rPr>
              <w:t>1</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DA28065" w14:textId="77777777" w:rsidR="00856DF4" w:rsidRDefault="0005234B">
            <w:pPr>
              <w:rPr>
                <w:rFonts w:hint="eastAsia"/>
              </w:rPr>
            </w:pPr>
            <w:r>
              <w:rPr>
                <w:color w:val="000000"/>
                <w:sz w:val="18"/>
              </w:rPr>
              <w:t>Executive summary and proposed participation</w:t>
            </w:r>
          </w:p>
        </w:tc>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2E246501" w14:textId="77777777" w:rsidR="00856DF4" w:rsidRDefault="0005234B">
            <w:pPr>
              <w:rPr>
                <w:rFonts w:hint="eastAsia"/>
              </w:rPr>
            </w:pPr>
            <w:r>
              <w:rPr>
                <w:color w:val="000000"/>
                <w:sz w:val="18"/>
              </w:rPr>
              <w:t>2 pages</w:t>
            </w:r>
          </w:p>
        </w:tc>
      </w:tr>
      <w:tr w:rsidR="00856DF4" w14:paraId="3F990E4A" w14:textId="77777777">
        <w:trP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F84D9FC" w14:textId="77777777" w:rsidR="00856DF4" w:rsidRDefault="0005234B">
            <w:pPr>
              <w:rPr>
                <w:rFonts w:hint="eastAsia"/>
              </w:rPr>
            </w:pPr>
            <w:r>
              <w:rPr>
                <w:color w:val="000000"/>
                <w:sz w:val="18"/>
              </w:rPr>
              <w:t>2</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36AB8A97" w14:textId="77777777" w:rsidR="00856DF4" w:rsidRDefault="0005234B">
            <w:pPr>
              <w:rPr>
                <w:rFonts w:hint="eastAsia"/>
              </w:rPr>
            </w:pPr>
            <w:r>
              <w:rPr>
                <w:color w:val="000000"/>
                <w:sz w:val="18"/>
              </w:rPr>
              <w:t>Company profile, licences and ownership</w:t>
            </w:r>
          </w:p>
        </w:tc>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6DF087DD" w14:textId="77777777" w:rsidR="00856DF4" w:rsidRDefault="0005234B">
            <w:pPr>
              <w:rPr>
                <w:rFonts w:hint="eastAsia"/>
              </w:rPr>
            </w:pPr>
            <w:r>
              <w:rPr>
                <w:color w:val="000000"/>
                <w:sz w:val="18"/>
              </w:rPr>
              <w:t>3 pages</w:t>
            </w:r>
          </w:p>
        </w:tc>
      </w:tr>
      <w:tr w:rsidR="00856DF4" w14:paraId="6C1F15CD" w14:textId="77777777">
        <w:trPr>
          <w:jc w:val="center"/>
        </w:trPr>
        <w:tc>
          <w:tcPr>
            <w:tcW w:w="1008"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DC60106" w14:textId="77777777" w:rsidR="00856DF4" w:rsidRDefault="0005234B">
            <w:pPr>
              <w:rPr>
                <w:rFonts w:hint="eastAsia"/>
              </w:rPr>
            </w:pPr>
            <w:r>
              <w:rPr>
                <w:color w:val="000000"/>
                <w:sz w:val="18"/>
              </w:rPr>
              <w:t>3</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602242B5" w14:textId="77777777" w:rsidR="00856DF4" w:rsidRDefault="0005234B">
            <w:pPr>
              <w:rPr>
                <w:rFonts w:hint="eastAsia"/>
              </w:rPr>
            </w:pPr>
            <w:r>
              <w:rPr>
                <w:color w:val="000000"/>
                <w:sz w:val="18"/>
              </w:rPr>
              <w:t>Relevant experience and references</w:t>
            </w:r>
          </w:p>
        </w:tc>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1D65F971" w14:textId="77777777" w:rsidR="00856DF4" w:rsidRDefault="0005234B">
            <w:pPr>
              <w:rPr>
                <w:rFonts w:hint="eastAsia"/>
              </w:rPr>
            </w:pPr>
            <w:r>
              <w:rPr>
                <w:color w:val="000000"/>
                <w:sz w:val="18"/>
              </w:rPr>
              <w:t>5 pages</w:t>
            </w:r>
          </w:p>
        </w:tc>
      </w:tr>
      <w:tr w:rsidR="00856DF4" w14:paraId="1A63C544" w14:textId="77777777">
        <w:trP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F944AB0" w14:textId="77777777" w:rsidR="00856DF4" w:rsidRDefault="0005234B">
            <w:pPr>
              <w:rPr>
                <w:rFonts w:hint="eastAsia"/>
              </w:rPr>
            </w:pPr>
            <w:r>
              <w:rPr>
                <w:color w:val="000000"/>
                <w:sz w:val="18"/>
              </w:rPr>
              <w:lastRenderedPageBreak/>
              <w:t>4</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7022D75" w14:textId="77777777" w:rsidR="00856DF4" w:rsidRDefault="0005234B">
            <w:pPr>
              <w:rPr>
                <w:rFonts w:hint="eastAsia"/>
              </w:rPr>
            </w:pPr>
            <w:r>
              <w:rPr>
                <w:color w:val="000000"/>
                <w:sz w:val="18"/>
              </w:rPr>
              <w:t>Proposed operating and staffing approach</w:t>
            </w:r>
          </w:p>
        </w:tc>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996D485" w14:textId="77777777" w:rsidR="00856DF4" w:rsidRDefault="0005234B">
            <w:pPr>
              <w:rPr>
                <w:rFonts w:hint="eastAsia"/>
              </w:rPr>
            </w:pPr>
            <w:r>
              <w:rPr>
                <w:color w:val="000000"/>
                <w:sz w:val="18"/>
              </w:rPr>
              <w:t>8 pages</w:t>
            </w:r>
          </w:p>
        </w:tc>
      </w:tr>
      <w:tr w:rsidR="00856DF4" w14:paraId="4A24B8E8" w14:textId="77777777">
        <w:trPr>
          <w:jc w:val="center"/>
        </w:trPr>
        <w:tc>
          <w:tcPr>
            <w:tcW w:w="1008"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093781B" w14:textId="77777777" w:rsidR="00856DF4" w:rsidRDefault="0005234B">
            <w:pPr>
              <w:rPr>
                <w:rFonts w:hint="eastAsia"/>
              </w:rPr>
            </w:pPr>
            <w:r>
              <w:rPr>
                <w:color w:val="000000"/>
                <w:sz w:val="18"/>
              </w:rPr>
              <w:t>5</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34735257" w14:textId="77777777" w:rsidR="00856DF4" w:rsidRDefault="0005234B">
            <w:pPr>
              <w:rPr>
                <w:rFonts w:hint="eastAsia"/>
              </w:rPr>
            </w:pPr>
            <w:r>
              <w:rPr>
                <w:color w:val="000000"/>
                <w:sz w:val="18"/>
              </w:rPr>
              <w:t>Technology, safety, insurance and controls</w:t>
            </w:r>
          </w:p>
        </w:tc>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472AA5BA" w14:textId="77777777" w:rsidR="00856DF4" w:rsidRDefault="0005234B">
            <w:pPr>
              <w:rPr>
                <w:rFonts w:hint="eastAsia"/>
              </w:rPr>
            </w:pPr>
            <w:r>
              <w:rPr>
                <w:color w:val="000000"/>
                <w:sz w:val="18"/>
              </w:rPr>
              <w:t>6 pages</w:t>
            </w:r>
          </w:p>
        </w:tc>
      </w:tr>
      <w:tr w:rsidR="00856DF4" w14:paraId="06AF7F4C" w14:textId="77777777">
        <w:trP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7DD686D3" w14:textId="77777777" w:rsidR="00856DF4" w:rsidRDefault="0005234B">
            <w:pPr>
              <w:rPr>
                <w:rFonts w:hint="eastAsia"/>
              </w:rPr>
            </w:pPr>
            <w:r>
              <w:rPr>
                <w:color w:val="000000"/>
                <w:sz w:val="18"/>
              </w:rPr>
              <w:t>6</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29FF5818" w14:textId="77777777" w:rsidR="00856DF4" w:rsidRDefault="0005234B">
            <w:pPr>
              <w:rPr>
                <w:rFonts w:hint="eastAsia"/>
              </w:rPr>
            </w:pPr>
            <w:r>
              <w:rPr>
                <w:color w:val="000000"/>
                <w:sz w:val="18"/>
              </w:rPr>
              <w:t>Mobilisation and dependencies</w:t>
            </w:r>
          </w:p>
        </w:tc>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43E36BE8" w14:textId="77777777" w:rsidR="00856DF4" w:rsidRDefault="0005234B">
            <w:pPr>
              <w:rPr>
                <w:rFonts w:hint="eastAsia"/>
              </w:rPr>
            </w:pPr>
            <w:r>
              <w:rPr>
                <w:color w:val="000000"/>
                <w:sz w:val="18"/>
              </w:rPr>
              <w:t>3 pages</w:t>
            </w:r>
          </w:p>
        </w:tc>
      </w:tr>
      <w:tr w:rsidR="00856DF4" w14:paraId="0C8953B6" w14:textId="77777777">
        <w:trPr>
          <w:jc w:val="center"/>
        </w:trPr>
        <w:tc>
          <w:tcPr>
            <w:tcW w:w="1008"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15B33C30" w14:textId="77777777" w:rsidR="00856DF4" w:rsidRDefault="0005234B">
            <w:pPr>
              <w:rPr>
                <w:rFonts w:hint="eastAsia"/>
              </w:rPr>
            </w:pPr>
            <w:r>
              <w:rPr>
                <w:color w:val="000000"/>
                <w:sz w:val="18"/>
              </w:rPr>
              <w:t>7</w:t>
            </w:r>
          </w:p>
        </w:tc>
        <w:tc>
          <w:tcPr>
            <w:tcW w:w="6696"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1818AC0C" w14:textId="77777777" w:rsidR="00856DF4" w:rsidRDefault="0005234B">
            <w:pPr>
              <w:rPr>
                <w:rFonts w:hint="eastAsia"/>
              </w:rPr>
            </w:pPr>
            <w:r>
              <w:rPr>
                <w:color w:val="000000"/>
                <w:sz w:val="18"/>
              </w:rPr>
              <w:t>Indicative commercial models and assumptions</w:t>
            </w:r>
          </w:p>
        </w:tc>
        <w:tc>
          <w:tcPr>
            <w:tcW w:w="2232" w:type="dxa"/>
            <w:tcBorders>
              <w:top w:val="single" w:sz="4" w:space="0" w:color="D9D9D9"/>
              <w:left w:val="single" w:sz="4" w:space="0" w:color="D9D9D9"/>
              <w:bottom w:val="single" w:sz="4" w:space="0" w:color="D9D9D9"/>
              <w:right w:val="single" w:sz="4" w:space="0" w:color="D9D9D9"/>
            </w:tcBorders>
            <w:tcMar>
              <w:top w:w="100" w:type="dxa"/>
              <w:left w:w="120" w:type="dxa"/>
              <w:bottom w:w="100" w:type="dxa"/>
              <w:right w:w="120" w:type="dxa"/>
            </w:tcMar>
            <w:vAlign w:val="center"/>
          </w:tcPr>
          <w:p w14:paraId="058CFB17" w14:textId="77777777" w:rsidR="00856DF4" w:rsidRDefault="0005234B">
            <w:pPr>
              <w:rPr>
                <w:rFonts w:hint="eastAsia"/>
              </w:rPr>
            </w:pPr>
            <w:r>
              <w:rPr>
                <w:color w:val="000000"/>
                <w:sz w:val="18"/>
              </w:rPr>
              <w:t>4 pages</w:t>
            </w:r>
          </w:p>
        </w:tc>
      </w:tr>
      <w:tr w:rsidR="00856DF4" w14:paraId="3747A50F" w14:textId="77777777">
        <w:trP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B5D22FF" w14:textId="77777777" w:rsidR="00856DF4" w:rsidRDefault="0005234B">
            <w:pPr>
              <w:rPr>
                <w:rFonts w:hint="eastAsia"/>
              </w:rPr>
            </w:pPr>
            <w:r>
              <w:rPr>
                <w:color w:val="000000"/>
                <w:sz w:val="18"/>
              </w:rPr>
              <w:t>Appendices</w:t>
            </w:r>
          </w:p>
        </w:tc>
        <w:tc>
          <w:tcPr>
            <w:tcW w:w="6696"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0F1434C1" w14:textId="77777777" w:rsidR="00856DF4" w:rsidRDefault="0005234B">
            <w:pPr>
              <w:rPr>
                <w:rFonts w:hint="eastAsia"/>
              </w:rPr>
            </w:pPr>
            <w:r>
              <w:rPr>
                <w:color w:val="000000"/>
                <w:sz w:val="18"/>
              </w:rPr>
              <w:t>Supporting evidence and certificates</w:t>
            </w:r>
          </w:p>
        </w:tc>
        <w:tc>
          <w:tcPr>
            <w:tcW w:w="2232" w:type="dxa"/>
            <w:tcBorders>
              <w:top w:val="single" w:sz="4" w:space="0" w:color="D9D9D9"/>
              <w:left w:val="single" w:sz="4" w:space="0" w:color="D9D9D9"/>
              <w:bottom w:val="single" w:sz="4" w:space="0" w:color="D9D9D9"/>
              <w:right w:val="single" w:sz="4" w:space="0" w:color="D9D9D9"/>
            </w:tcBorders>
            <w:shd w:val="clear" w:color="auto" w:fill="F3F4F6"/>
            <w:tcMar>
              <w:top w:w="100" w:type="dxa"/>
              <w:left w:w="120" w:type="dxa"/>
              <w:bottom w:w="100" w:type="dxa"/>
              <w:right w:w="120" w:type="dxa"/>
            </w:tcMar>
            <w:vAlign w:val="center"/>
          </w:tcPr>
          <w:p w14:paraId="153898B9" w14:textId="77777777" w:rsidR="00856DF4" w:rsidRDefault="0005234B">
            <w:pPr>
              <w:rPr>
                <w:rFonts w:hint="eastAsia"/>
              </w:rPr>
            </w:pPr>
            <w:r>
              <w:rPr>
                <w:color w:val="000000"/>
                <w:sz w:val="18"/>
              </w:rPr>
              <w:t>As required</w:t>
            </w:r>
          </w:p>
        </w:tc>
      </w:tr>
    </w:tbl>
    <w:p w14:paraId="5293FE99" w14:textId="77777777" w:rsidR="00856DF4" w:rsidRDefault="00856DF4">
      <w:pPr>
        <w:spacing w:after="0"/>
        <w:rPr>
          <w:rFonts w:hint="eastAsia"/>
        </w:rPr>
      </w:pPr>
    </w:p>
    <w:sectPr w:rsidR="00856DF4" w:rsidSect="00034616">
      <w:footerReference w:type="default" r:id="rId8"/>
      <w:pgSz w:w="12240" w:h="15840"/>
      <w:pgMar w:top="1037"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1160" w14:textId="77777777" w:rsidR="0005234B" w:rsidRDefault="0005234B">
      <w:pPr>
        <w:spacing w:after="0" w:line="240" w:lineRule="auto"/>
        <w:rPr>
          <w:rFonts w:hint="eastAsia"/>
        </w:rPr>
      </w:pPr>
      <w:r>
        <w:separator/>
      </w:r>
    </w:p>
  </w:endnote>
  <w:endnote w:type="continuationSeparator" w:id="0">
    <w:p w14:paraId="76F1A480" w14:textId="77777777" w:rsidR="0005234B" w:rsidRDefault="0005234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843A" w14:textId="77777777" w:rsidR="00856DF4" w:rsidRDefault="0005234B">
    <w:pPr>
      <w:pStyle w:val="Footer"/>
      <w:jc w:val="center"/>
      <w:rPr>
        <w:rFonts w:hint="eastAsia"/>
      </w:rPr>
    </w:pPr>
    <w:proofErr w:type="spellStart"/>
    <w:r>
      <w:rPr>
        <w:color w:val="595959"/>
        <w:sz w:val="16"/>
      </w:rPr>
      <w:t>Tharaa</w:t>
    </w:r>
    <w:proofErr w:type="spellEnd"/>
    <w:r>
      <w:rPr>
        <w:color w:val="595959"/>
        <w:sz w:val="16"/>
      </w:rPr>
      <w:t xml:space="preserve"> Holding  Request for Information for Valet Parking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BC08" w14:textId="77777777" w:rsidR="0005234B" w:rsidRDefault="0005234B">
      <w:pPr>
        <w:spacing w:after="0" w:line="240" w:lineRule="auto"/>
        <w:rPr>
          <w:rFonts w:hint="eastAsia"/>
        </w:rPr>
      </w:pPr>
      <w:r>
        <w:separator/>
      </w:r>
    </w:p>
  </w:footnote>
  <w:footnote w:type="continuationSeparator" w:id="0">
    <w:p w14:paraId="6F913D8C" w14:textId="77777777" w:rsidR="0005234B" w:rsidRDefault="0005234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8460214">
    <w:abstractNumId w:val="8"/>
  </w:num>
  <w:num w:numId="2" w16cid:durableId="1097824003">
    <w:abstractNumId w:val="6"/>
  </w:num>
  <w:num w:numId="3" w16cid:durableId="836071298">
    <w:abstractNumId w:val="5"/>
  </w:num>
  <w:num w:numId="4" w16cid:durableId="1188565459">
    <w:abstractNumId w:val="4"/>
  </w:num>
  <w:num w:numId="5" w16cid:durableId="230893952">
    <w:abstractNumId w:val="7"/>
  </w:num>
  <w:num w:numId="6" w16cid:durableId="1725523871">
    <w:abstractNumId w:val="3"/>
  </w:num>
  <w:num w:numId="7" w16cid:durableId="1642610130">
    <w:abstractNumId w:val="2"/>
  </w:num>
  <w:num w:numId="8" w16cid:durableId="1163667474">
    <w:abstractNumId w:val="1"/>
  </w:num>
  <w:num w:numId="9" w16cid:durableId="40313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34B"/>
    <w:rsid w:val="0006063C"/>
    <w:rsid w:val="0015074B"/>
    <w:rsid w:val="0029639D"/>
    <w:rsid w:val="00326F90"/>
    <w:rsid w:val="00856DF4"/>
    <w:rsid w:val="00AA1D8D"/>
    <w:rsid w:val="00B47730"/>
    <w:rsid w:val="00C84D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93E7B4"/>
  <w14:defaultImageDpi w14:val="300"/>
  <w15:docId w15:val="{26A3F67C-1295-8F45-8FA0-D4FAAD8B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2094</Words>
  <Characters>11937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Information for Valet Parking Services</dc:title>
  <dc:subject>Tharaa Hub valet parking market engagement</dc:subject>
  <dc:creator>Tharaa Holding</dc:creator>
  <cp:keywords/>
  <dc:description>generated by python-docx</dc:description>
  <cp:lastModifiedBy>Ahmed Khbeer</cp:lastModifiedBy>
  <cp:revision>2</cp:revision>
  <dcterms:created xsi:type="dcterms:W3CDTF">2026-09-17T11:35:00Z</dcterms:created>
  <dcterms:modified xsi:type="dcterms:W3CDTF">2026-09-17T11:35:00Z</dcterms:modified>
  <cp:category/>
</cp:coreProperties>
</file>